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F027" w14:textId="77777777" w:rsidR="001570AF" w:rsidRDefault="00E9796D">
      <w:pPr>
        <w:spacing w:after="0" w:line="259" w:lineRule="auto"/>
        <w:ind w:right="71" w:firstLine="0"/>
        <w:jc w:val="center"/>
      </w:pPr>
      <w:r>
        <w:rPr>
          <w:b/>
        </w:rPr>
        <w:t>ПОЯСНЮВАЛЬНА ЗАПИСКА</w:t>
      </w:r>
    </w:p>
    <w:p w14:paraId="7B7CCBF2" w14:textId="52ECEB3E" w:rsidR="00E14ACD" w:rsidRDefault="00E9796D" w:rsidP="00E14AC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до проєкту </w:t>
      </w:r>
      <w:r w:rsidR="00E339B1">
        <w:rPr>
          <w:b/>
        </w:rPr>
        <w:t xml:space="preserve">рішення Національної комісії </w:t>
      </w:r>
      <w:r w:rsidR="00E14ACD">
        <w:rPr>
          <w:b/>
        </w:rPr>
        <w:t>зі стандартів державної мови</w:t>
      </w:r>
    </w:p>
    <w:p w14:paraId="30F803E0" w14:textId="66098ADA" w:rsidR="001570AF" w:rsidRDefault="00E9796D" w:rsidP="00E14AC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«Про затвердження Порядку </w:t>
      </w:r>
      <w:r w:rsidR="00E14ACD" w:rsidRPr="00F34C9C">
        <w:rPr>
          <w:b/>
          <w:bCs/>
          <w:szCs w:val="28"/>
        </w:rPr>
        <w:t>напрацювання, затвердження, уведення в дію,</w:t>
      </w:r>
      <w:r w:rsidR="00E14ACD">
        <w:rPr>
          <w:b/>
          <w:bCs/>
          <w:szCs w:val="28"/>
        </w:rPr>
        <w:t xml:space="preserve"> </w:t>
      </w:r>
      <w:r w:rsidR="00E14ACD" w:rsidRPr="00F34C9C">
        <w:rPr>
          <w:b/>
          <w:bCs/>
          <w:szCs w:val="28"/>
        </w:rPr>
        <w:t>перегляду стандартів державної мови та внесення змін до них</w:t>
      </w:r>
      <w:r>
        <w:rPr>
          <w:b/>
        </w:rPr>
        <w:t>»</w:t>
      </w:r>
    </w:p>
    <w:p w14:paraId="7375F606" w14:textId="77777777" w:rsidR="00E14ACD" w:rsidRDefault="00E14ACD" w:rsidP="00E14ACD">
      <w:pPr>
        <w:spacing w:after="0" w:line="240" w:lineRule="auto"/>
        <w:ind w:firstLine="0"/>
        <w:jc w:val="center"/>
      </w:pPr>
    </w:p>
    <w:p w14:paraId="35B97E05" w14:textId="77777777" w:rsidR="001570AF" w:rsidRDefault="00E9796D" w:rsidP="00E14ACD">
      <w:pPr>
        <w:pStyle w:val="1"/>
        <w:ind w:left="0" w:right="0" w:firstLine="705"/>
      </w:pPr>
      <w:r>
        <w:t>Мета</w:t>
      </w:r>
    </w:p>
    <w:p w14:paraId="282450E5" w14:textId="7A287C0F" w:rsidR="001570AF" w:rsidRDefault="00E9796D" w:rsidP="00E14ACD">
      <w:pPr>
        <w:spacing w:after="0" w:line="240" w:lineRule="auto"/>
        <w:ind w:firstLine="709"/>
      </w:pPr>
      <w:r>
        <w:t xml:space="preserve">Проєкт </w:t>
      </w:r>
      <w:r w:rsidR="00E14ACD" w:rsidRPr="00E14ACD">
        <w:rPr>
          <w:bCs/>
        </w:rPr>
        <w:t xml:space="preserve">рішення Національної комісії зі стандартів державної мови «Про затвердження Порядку </w:t>
      </w:r>
      <w:r w:rsidR="00E14ACD" w:rsidRPr="00E14ACD">
        <w:rPr>
          <w:bCs/>
          <w:szCs w:val="28"/>
        </w:rPr>
        <w:t>напрацювання, затвердження, уведення в дію, перегляду стандартів державної мови та внесення змін до них</w:t>
      </w:r>
      <w:r w:rsidR="00E14ACD" w:rsidRPr="00E14ACD">
        <w:rPr>
          <w:bCs/>
        </w:rPr>
        <w:t>»</w:t>
      </w:r>
      <w:r w:rsidR="00E14ACD">
        <w:rPr>
          <w:bCs/>
        </w:rPr>
        <w:t xml:space="preserve"> </w:t>
      </w:r>
      <w:r>
        <w:t xml:space="preserve">розроблено Національною комісією зі стандартів державної мови (далі – Комісія) в рамках законодавчої ініціативи з метою забезпечення реалізації виконання положень Закону України «Про забезпечення функціонування української мови як державної» (далі – Закон) в частині розроблення процедури напрацювання, затвердження, уведення в </w:t>
      </w:r>
      <w:r w:rsidRPr="00C00AEE">
        <w:t>дію</w:t>
      </w:r>
      <w:r w:rsidR="00C00AEE">
        <w:t>,</w:t>
      </w:r>
      <w:r w:rsidRPr="00C00AEE">
        <w:t xml:space="preserve"> </w:t>
      </w:r>
      <w:r w:rsidR="00C00AEE" w:rsidRPr="00C00AEE">
        <w:rPr>
          <w:szCs w:val="28"/>
        </w:rPr>
        <w:t>перегляду стандартів державної мови та внесення змін до них</w:t>
      </w:r>
      <w:r>
        <w:t>, зокрема, української термінології, стандартів транскрибування і транслітерації, інших стандартів у сфері української мови</w:t>
      </w:r>
      <w:r w:rsidR="00E14ACD">
        <w:t>.</w:t>
      </w:r>
      <w:r>
        <w:t xml:space="preserve"> </w:t>
      </w:r>
    </w:p>
    <w:p w14:paraId="03F9B00E" w14:textId="77777777" w:rsidR="00E14ACD" w:rsidRDefault="00E14ACD" w:rsidP="00E14ACD">
      <w:pPr>
        <w:spacing w:after="0" w:line="240" w:lineRule="auto"/>
        <w:ind w:firstLine="709"/>
      </w:pPr>
    </w:p>
    <w:p w14:paraId="14403B2F" w14:textId="77777777" w:rsidR="001570AF" w:rsidRDefault="00E9796D" w:rsidP="00E14ACD">
      <w:pPr>
        <w:pStyle w:val="1"/>
        <w:ind w:left="0" w:right="0" w:firstLine="709"/>
      </w:pPr>
      <w:r>
        <w:t>Обґрунтування необхідності прийняття акта</w:t>
      </w:r>
    </w:p>
    <w:p w14:paraId="7F2B3351" w14:textId="208BAE0F" w:rsidR="001570AF" w:rsidRDefault="00E9796D">
      <w:pPr>
        <w:ind w:left="-15"/>
      </w:pPr>
      <w:r>
        <w:t xml:space="preserve">Проєкт </w:t>
      </w:r>
      <w:r w:rsidR="00E14ACD">
        <w:t>рішення</w:t>
      </w:r>
      <w:r>
        <w:t xml:space="preserve"> розроблено Комісією у зв’язку з потребою виконання Комісією основних повноважень, закріплених в Законі, щодо опрацювання та утвердження стандартів української мови як державної та практичного механізму здійснення цієї діяльності, з метою забезпечення ефективної реалізації державної політики, спрямованої на захист державної мови, її всебічний розвиток і функціонування у визначених законодавством сферах суспільного життя на всій території України. </w:t>
      </w:r>
    </w:p>
    <w:p w14:paraId="29A12F72" w14:textId="77777777" w:rsidR="00E14ACD" w:rsidRDefault="00E14ACD">
      <w:pPr>
        <w:ind w:left="-15"/>
      </w:pPr>
    </w:p>
    <w:p w14:paraId="77BD433C" w14:textId="77777777" w:rsidR="001570AF" w:rsidRDefault="00E9796D" w:rsidP="00E14ACD">
      <w:pPr>
        <w:pStyle w:val="1"/>
        <w:ind w:left="0" w:right="0" w:firstLine="705"/>
      </w:pPr>
      <w:r>
        <w:t xml:space="preserve">Основні положення проєкту акта </w:t>
      </w:r>
    </w:p>
    <w:p w14:paraId="32C946D7" w14:textId="77777777" w:rsidR="001570AF" w:rsidRDefault="00E9796D">
      <w:pPr>
        <w:ind w:left="-15"/>
      </w:pPr>
      <w:r>
        <w:t>До повноважень Комісії, зокрема, належить напрацювання з урахуванням пропозицій та висновків Інституту української мови Національної академії наук України, інших наукових та освітніх установ і затвердження стандартів державної мови, зокрема правопису української мови та змін до нього, української термінології й стандартів транскрибування і транслітерації.</w:t>
      </w:r>
    </w:p>
    <w:p w14:paraId="6EAF6B43" w14:textId="77777777" w:rsidR="001570AF" w:rsidRDefault="00E9796D">
      <w:pPr>
        <w:ind w:left="-15"/>
      </w:pPr>
      <w:r>
        <w:t>Проєкт акта передбачає реалізацію Комісією своїх повноважень у сфері стандартів державної мови як нормативних документів та передовсім встановлює відповідні механізм і процедуру,  а також різновиди, оскільки Закон не вказує на правопис української мови, українську термінологію, стандарти транскрибування і транслітерації як на вичерпний перелік видів стандартів державної мови.</w:t>
      </w:r>
    </w:p>
    <w:p w14:paraId="3E87AAFD" w14:textId="010D4FD0" w:rsidR="001570AF" w:rsidRDefault="00E9796D" w:rsidP="006E259B">
      <w:pPr>
        <w:spacing w:after="0" w:line="240" w:lineRule="auto"/>
        <w:ind w:firstLine="567"/>
        <w:rPr>
          <w:szCs w:val="28"/>
        </w:rPr>
      </w:pPr>
      <w:r>
        <w:t>Проєкт акта закріплює та деталізує етапи напрацювання</w:t>
      </w:r>
      <w:r w:rsidR="00E14ACD">
        <w:t>,</w:t>
      </w:r>
      <w:r>
        <w:t xml:space="preserve"> затвердження</w:t>
      </w:r>
      <w:r w:rsidR="00E14ACD">
        <w:t xml:space="preserve">, </w:t>
      </w:r>
      <w:r w:rsidR="00E14ACD" w:rsidRPr="00E14ACD">
        <w:rPr>
          <w:szCs w:val="28"/>
        </w:rPr>
        <w:t>уведення в дію, перегляду стандартів державної мови та внесення змін до них</w:t>
      </w:r>
      <w:r>
        <w:t xml:space="preserve">, а саме: </w:t>
      </w:r>
      <w:r w:rsidR="006E259B" w:rsidRPr="00F34C9C">
        <w:rPr>
          <w:szCs w:val="28"/>
        </w:rPr>
        <w:t>утворення робочої групи з напрацювання або перегляду стандарту державної мови та (за потреби) внесення змін до нього;</w:t>
      </w:r>
      <w:r w:rsidR="006E259B">
        <w:rPr>
          <w:szCs w:val="28"/>
        </w:rPr>
        <w:t xml:space="preserve"> </w:t>
      </w:r>
      <w:r w:rsidR="006E259B" w:rsidRPr="00F34C9C">
        <w:rPr>
          <w:szCs w:val="28"/>
        </w:rPr>
        <w:t xml:space="preserve">складення й </w:t>
      </w:r>
      <w:r w:rsidR="006E259B" w:rsidRPr="00F34C9C">
        <w:rPr>
          <w:szCs w:val="28"/>
        </w:rPr>
        <w:lastRenderedPageBreak/>
        <w:t>затвердження технічного завдання для напрацювання або перегляду чи внесення змін до проєкту стандарту державної мови;</w:t>
      </w:r>
      <w:r w:rsidR="006E259B">
        <w:rPr>
          <w:szCs w:val="28"/>
        </w:rPr>
        <w:t xml:space="preserve"> </w:t>
      </w:r>
      <w:r w:rsidR="006E259B" w:rsidRPr="00F34C9C">
        <w:rPr>
          <w:szCs w:val="28"/>
        </w:rPr>
        <w:t>напрацювання проєкту стандарту державної мови, перегляд стандарту державної мови чи внесення змін до нього; прийняття до розгляду напрацьованого фізичною особою чи групою осіб проєкту стандарту державної мови і супровідних документів;</w:t>
      </w:r>
      <w:r w:rsidR="006E259B">
        <w:rPr>
          <w:szCs w:val="28"/>
        </w:rPr>
        <w:t xml:space="preserve"> </w:t>
      </w:r>
      <w:r w:rsidR="006E259B" w:rsidRPr="00F34C9C">
        <w:rPr>
          <w:szCs w:val="28"/>
        </w:rPr>
        <w:t>проведення громадського обговорення проєкту стандарту державної мови чи змін до стандарту державної мови та опрацювання результатів громадського обговорення; отримання пропозицій та висновків щодо проєкту стандарту державної мови чи змін до стандарту державної мови від Інституту української мови Національної академії наук України, інших наукових та освітніх установ і їх опрацювання; здійснення перевірки щодо дотримання вимог цього Порядку під час напрацювання проєкту стандарту державної мови або перегляду стандарту державної мови чи внесенні змін до нього; затвердження й уведення в дію стандарту державної мови чи змін до стандарту державної мови.</w:t>
      </w:r>
    </w:p>
    <w:p w14:paraId="76BB9B1A" w14:textId="77777777" w:rsidR="006E259B" w:rsidRDefault="006E259B" w:rsidP="006E259B">
      <w:pPr>
        <w:spacing w:after="0" w:line="240" w:lineRule="auto"/>
        <w:ind w:firstLine="567"/>
      </w:pPr>
    </w:p>
    <w:p w14:paraId="75B7714A" w14:textId="77777777" w:rsidR="001570AF" w:rsidRDefault="00E9796D" w:rsidP="00C00AEE">
      <w:pPr>
        <w:pStyle w:val="1"/>
        <w:ind w:left="0" w:right="0" w:firstLine="705"/>
      </w:pPr>
      <w:r>
        <w:t xml:space="preserve">Правові аспекти </w:t>
      </w:r>
    </w:p>
    <w:p w14:paraId="19822BBB" w14:textId="77777777" w:rsidR="001570AF" w:rsidRDefault="00E9796D">
      <w:pPr>
        <w:ind w:left="693" w:firstLine="0"/>
      </w:pPr>
      <w:r>
        <w:t xml:space="preserve">Правовими підставами для розроблення проєкту акта є: </w:t>
      </w:r>
    </w:p>
    <w:p w14:paraId="31D4648D" w14:textId="77777777" w:rsidR="001570AF" w:rsidRDefault="00E9796D">
      <w:pPr>
        <w:ind w:left="-15"/>
      </w:pPr>
      <w:r>
        <w:t>Закон України «Про забезпечення функціонування української мови як державної»;</w:t>
      </w:r>
    </w:p>
    <w:p w14:paraId="3C2230DE" w14:textId="20B34D4F" w:rsidR="001570AF" w:rsidRDefault="00E9796D">
      <w:pPr>
        <w:spacing w:after="310"/>
        <w:ind w:left="-15"/>
      </w:pPr>
      <w:r>
        <w:t>Положення про Національну комісію зі стандартів державної мови, затвердженого постановою Кабінету Міністрів України від 06 листопада 2019</w:t>
      </w:r>
      <w:r w:rsidR="00C00AEE">
        <w:t> </w:t>
      </w:r>
      <w:r>
        <w:t xml:space="preserve">року № 911. </w:t>
      </w:r>
    </w:p>
    <w:p w14:paraId="06B97E9B" w14:textId="77777777" w:rsidR="001570AF" w:rsidRDefault="00E9796D">
      <w:pPr>
        <w:pStyle w:val="1"/>
        <w:ind w:left="985" w:right="0" w:hanging="280"/>
      </w:pPr>
      <w:r>
        <w:t xml:space="preserve">Фінансово-економічне обґрунтування </w:t>
      </w:r>
    </w:p>
    <w:p w14:paraId="153ABE81" w14:textId="77777777" w:rsidR="001570AF" w:rsidRDefault="00E9796D">
      <w:pPr>
        <w:ind w:left="-15"/>
      </w:pPr>
      <w:r>
        <w:t>Проєкт акта потребує додаткового фінансування з державного бюджету. Фінансування буде здійснюватися за рахунок бюджетних призначень Комісії на відповідний бюджетний рік.</w:t>
      </w:r>
    </w:p>
    <w:p w14:paraId="09AB0534" w14:textId="77777777" w:rsidR="001570AF" w:rsidRDefault="00E9796D">
      <w:pPr>
        <w:spacing w:after="241"/>
        <w:ind w:left="693" w:firstLine="0"/>
      </w:pPr>
      <w:r>
        <w:t>Фінансово-економічне обґрунтування додається.</w:t>
      </w:r>
    </w:p>
    <w:p w14:paraId="00F3410F" w14:textId="77777777" w:rsidR="001570AF" w:rsidRDefault="00E9796D" w:rsidP="00C00AEE">
      <w:pPr>
        <w:pStyle w:val="1"/>
        <w:ind w:left="0" w:right="0" w:firstLine="705"/>
      </w:pPr>
      <w:r>
        <w:t>Позиція заінтересованих сторін</w:t>
      </w:r>
      <w:r>
        <w:rPr>
          <w:b w:val="0"/>
        </w:rPr>
        <w:t xml:space="preserve"> </w:t>
      </w:r>
    </w:p>
    <w:p w14:paraId="0F139386" w14:textId="77777777" w:rsidR="001570AF" w:rsidRDefault="00E9796D">
      <w:pPr>
        <w:ind w:left="-15"/>
      </w:pPr>
      <w:r>
        <w:t xml:space="preserve">Проєкт акта винесено на громадське обговорення, в тексті проєкту враховані його результати. </w:t>
      </w:r>
    </w:p>
    <w:p w14:paraId="7D0F428F" w14:textId="77777777" w:rsidR="001570AF" w:rsidRDefault="00E9796D">
      <w:pPr>
        <w:ind w:left="-15"/>
      </w:pPr>
      <w:r>
        <w:t>Проєкт акта не стосується питань функціонування місцевого самоврядування, прав і інтересів територіальних громад, місцевого та регіонального розвитку, соціально-трудової сфери, прав осіб з інвалідністю.</w:t>
      </w:r>
    </w:p>
    <w:p w14:paraId="4D796D35" w14:textId="585B18A0" w:rsidR="001570AF" w:rsidRDefault="00E9796D">
      <w:pPr>
        <w:ind w:left="-15"/>
      </w:pPr>
      <w:r>
        <w:t>Проєкт акта не стосується сфери наукової та науково-технічної  діяльності. Консультації з громадськістю проводилис</w:t>
      </w:r>
      <w:r w:rsidR="00737BFC">
        <w:t xml:space="preserve">я. Звіт про результати громадського обговорення оприлюднено на офіційному вебсайті Комісії за </w:t>
      </w:r>
      <w:hyperlink r:id="rId7" w:history="1">
        <w:r w:rsidR="00737BFC" w:rsidRPr="00737BFC">
          <w:rPr>
            <w:rStyle w:val="a3"/>
          </w:rPr>
          <w:t>покликанням</w:t>
        </w:r>
      </w:hyperlink>
      <w:r w:rsidR="00737BFC">
        <w:t>.</w:t>
      </w:r>
    </w:p>
    <w:p w14:paraId="465F7939" w14:textId="77777777" w:rsidR="001570AF" w:rsidRDefault="00E9796D">
      <w:pPr>
        <w:spacing w:after="310"/>
        <w:ind w:left="-15"/>
      </w:pPr>
      <w:r>
        <w:t xml:space="preserve">Проєкт акта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самоврядування. </w:t>
      </w:r>
    </w:p>
    <w:p w14:paraId="57BA59EB" w14:textId="77777777" w:rsidR="001570AF" w:rsidRDefault="00E9796D" w:rsidP="00737BFC">
      <w:pPr>
        <w:pStyle w:val="1"/>
        <w:ind w:left="0" w:right="0" w:firstLine="705"/>
      </w:pPr>
      <w:r>
        <w:lastRenderedPageBreak/>
        <w:t xml:space="preserve">Оцінка відповідності </w:t>
      </w:r>
    </w:p>
    <w:p w14:paraId="231880E3" w14:textId="77777777" w:rsidR="001570AF" w:rsidRDefault="00E9796D">
      <w:pPr>
        <w:ind w:left="-15"/>
      </w:pPr>
      <w:r>
        <w:t xml:space="preserve">У проєкті акта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 </w:t>
      </w:r>
    </w:p>
    <w:p w14:paraId="7E15493F" w14:textId="77777777" w:rsidR="001570AF" w:rsidRDefault="00E9796D">
      <w:pPr>
        <w:ind w:left="-15"/>
      </w:pPr>
      <w:r>
        <w:t xml:space="preserve">Громадська антикорупційна, громадська антидискримінаційна та громадська гендерно-правова експертизи не проводились. </w:t>
      </w:r>
    </w:p>
    <w:p w14:paraId="11A7EC5A" w14:textId="77777777" w:rsidR="001570AF" w:rsidRDefault="00E9796D">
      <w:pPr>
        <w:spacing w:after="310"/>
        <w:ind w:left="-15"/>
      </w:pPr>
      <w:r>
        <w:t xml:space="preserve">Проєкт акта не передбачає надання державної допомоги суб’єктам господарювання, і відповідно дія Закону України «Про державну допомогу суб’єктам господарювання» не поширюється на зазначений проєкт акта та на підтримку суб’єктів господарювання. У зв’язку з цим відповідне рішення Антимонопольного комітету України, передбачене зазначеним Законом, не потребується. </w:t>
      </w:r>
    </w:p>
    <w:p w14:paraId="7222F2E9" w14:textId="77777777" w:rsidR="001570AF" w:rsidRDefault="00E9796D" w:rsidP="00737BFC">
      <w:pPr>
        <w:pStyle w:val="1"/>
        <w:ind w:left="0" w:right="0" w:firstLine="705"/>
      </w:pPr>
      <w:r>
        <w:t xml:space="preserve">Прогноз результатів </w:t>
      </w:r>
    </w:p>
    <w:p w14:paraId="41CDDA04" w14:textId="77777777" w:rsidR="001570AF" w:rsidRDefault="00E9796D">
      <w:pPr>
        <w:ind w:left="-15"/>
      </w:pPr>
      <w:r>
        <w:t xml:space="preserve">Реалізація проєкту акта не матиме прямого впливу на: ринкове середовище, забезпечення прав та інтересів суб’єктів господарювання, громадян і держави (аналіз регуляторного впливу); розвиток регіонів (підвищення чи зниження спроможності територіальних громад, врахування потреб регіонів, наявність специфічного чи непропорційного впливу на окремі регіони тощо); громадське здоров’я (покращення чи погіршення стану здоров’я населення або його окремих груп, створення передумов для зміцнення та збереження здоров’я населення тощо); екологію та навколишнє природне середовище (збільшення чи зменшення обсягу використання відповідних природних ресурсів, рівня забруднення атмосферного повітря, води, земель, у тому числі утвореними відходами, підвищення чи зниження рівня небезпеки техногенного та природного характеру тощо); інші сфери суспільних відносин. </w:t>
      </w:r>
    </w:p>
    <w:p w14:paraId="1131B195" w14:textId="31B88E0E" w:rsidR="001570AF" w:rsidRDefault="00E9796D">
      <w:pPr>
        <w:ind w:left="-15"/>
      </w:pPr>
      <w:r>
        <w:t>Водночас проєкт акта матиме вплив на ефективність та якість роботи Національної комісії зі стандартів державної мови, а також на забезпечення основних завдань, визначених законодавством, щодо належного проведення</w:t>
      </w:r>
      <w:r>
        <w:rPr>
          <w:sz w:val="22"/>
        </w:rPr>
        <w:t xml:space="preserve"> </w:t>
      </w:r>
      <w:r>
        <w:t xml:space="preserve">іспитів на рівень володіння державною мовою. </w:t>
      </w:r>
    </w:p>
    <w:p w14:paraId="102E767F" w14:textId="61849D95" w:rsidR="006E259B" w:rsidRDefault="006E259B">
      <w:pPr>
        <w:ind w:left="-15"/>
      </w:pPr>
    </w:p>
    <w:p w14:paraId="379E46DB" w14:textId="4E10FE59" w:rsidR="006E259B" w:rsidRDefault="006E259B">
      <w:pPr>
        <w:ind w:left="-15"/>
      </w:pPr>
    </w:p>
    <w:p w14:paraId="7CFA7E69" w14:textId="30D0796E" w:rsidR="006E259B" w:rsidRDefault="006E259B">
      <w:pPr>
        <w:ind w:left="-15"/>
      </w:pPr>
    </w:p>
    <w:p w14:paraId="48CF5165" w14:textId="547260C3" w:rsidR="006E259B" w:rsidRDefault="006E259B">
      <w:pPr>
        <w:ind w:left="-15"/>
      </w:pPr>
    </w:p>
    <w:p w14:paraId="42F70736" w14:textId="77777777" w:rsidR="006E259B" w:rsidRDefault="006E259B">
      <w:pPr>
        <w:ind w:left="-15"/>
      </w:pPr>
    </w:p>
    <w:tbl>
      <w:tblPr>
        <w:tblStyle w:val="TableGrid"/>
        <w:tblW w:w="9330" w:type="dxa"/>
        <w:tblInd w:w="133" w:type="dxa"/>
        <w:tblCellMar>
          <w:top w:w="72" w:type="dxa"/>
          <w:left w:w="12" w:type="dxa"/>
          <w:bottom w:w="18" w:type="dxa"/>
          <w:right w:w="109" w:type="dxa"/>
        </w:tblCellMar>
        <w:tblLook w:val="04A0" w:firstRow="1" w:lastRow="0" w:firstColumn="1" w:lastColumn="0" w:noHBand="0" w:noVBand="1"/>
      </w:tblPr>
      <w:tblGrid>
        <w:gridCol w:w="2987"/>
        <w:gridCol w:w="2687"/>
        <w:gridCol w:w="3656"/>
      </w:tblGrid>
      <w:tr w:rsidR="001570AF" w14:paraId="2D3B35E7" w14:textId="77777777" w:rsidTr="00737BFC">
        <w:trPr>
          <w:trHeight w:val="1496"/>
        </w:trPr>
        <w:tc>
          <w:tcPr>
            <w:tcW w:w="2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766AB6" w14:textId="77777777" w:rsidR="001570AF" w:rsidRDefault="00E9796D" w:rsidP="00737BFC">
            <w:pPr>
              <w:spacing w:after="0" w:line="259" w:lineRule="auto"/>
              <w:ind w:hanging="51"/>
              <w:jc w:val="center"/>
            </w:pPr>
            <w:r>
              <w:rPr>
                <w:b/>
                <w:sz w:val="24"/>
              </w:rPr>
              <w:lastRenderedPageBreak/>
              <w:t>Заінтересована сторона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476672" w14:textId="09EB55C3" w:rsidR="001570AF" w:rsidRDefault="00E9796D" w:rsidP="00737BFC">
            <w:pPr>
              <w:spacing w:after="0" w:line="259" w:lineRule="auto"/>
              <w:ind w:left="237" w:firstLine="0"/>
              <w:jc w:val="center"/>
            </w:pPr>
            <w:r>
              <w:rPr>
                <w:b/>
                <w:sz w:val="24"/>
              </w:rPr>
              <w:t>Вплив реалізації акта на</w:t>
            </w:r>
            <w:r w:rsidR="00737B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заінтересовану сторону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31EC19" w14:textId="368A0FE7" w:rsidR="001570AF" w:rsidRDefault="00E9796D" w:rsidP="00737BFC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  <w:sz w:val="24"/>
              </w:rPr>
              <w:t>Пояснення очікуваного впливу</w:t>
            </w:r>
          </w:p>
        </w:tc>
      </w:tr>
      <w:tr w:rsidR="001570AF" w14:paraId="5332DE79" w14:textId="77777777" w:rsidTr="00737BFC">
        <w:trPr>
          <w:trHeight w:val="2244"/>
        </w:trPr>
        <w:tc>
          <w:tcPr>
            <w:tcW w:w="2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8FA8F3" w14:textId="02F5CC3E" w:rsidR="001570AF" w:rsidRDefault="003C7FFB" w:rsidP="00870C9C">
            <w:pPr>
              <w:spacing w:after="0" w:line="238" w:lineRule="auto"/>
              <w:ind w:left="44" w:right="191" w:firstLine="0"/>
            </w:pPr>
            <w:r>
              <w:t>Громадяни України, які зобов’язані володіти державною мовою та застосовувати її під час виконання службових обов’язків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4E70" w14:textId="77777777" w:rsidR="001570AF" w:rsidRDefault="00E9796D">
            <w:pPr>
              <w:spacing w:after="0" w:line="259" w:lineRule="auto"/>
              <w:ind w:left="408" w:firstLine="0"/>
              <w:jc w:val="left"/>
            </w:pPr>
            <w:r>
              <w:t>Позитивний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6C4490A" w14:textId="221BB0D4" w:rsidR="001570AF" w:rsidRDefault="00E9796D" w:rsidP="00870C9C">
            <w:pPr>
              <w:spacing w:after="0" w:line="271" w:lineRule="auto"/>
              <w:ind w:left="3" w:firstLine="0"/>
            </w:pPr>
            <w:r>
              <w:t xml:space="preserve">Дозволить вказаним особам забезпечити дотримання вимог Закону України «Про забезпечення функціонування української мови як державної» </w:t>
            </w:r>
          </w:p>
        </w:tc>
      </w:tr>
      <w:tr w:rsidR="001570AF" w14:paraId="67FE9E7B" w14:textId="77777777" w:rsidTr="00737BFC">
        <w:trPr>
          <w:trHeight w:val="2731"/>
        </w:trPr>
        <w:tc>
          <w:tcPr>
            <w:tcW w:w="2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8D99A1" w14:textId="3019F03F" w:rsidR="001570AF" w:rsidRDefault="003C7FFB">
            <w:pPr>
              <w:spacing w:after="0" w:line="259" w:lineRule="auto"/>
              <w:ind w:left="68" w:hanging="68"/>
              <w:jc w:val="left"/>
            </w:pPr>
            <w:r>
              <w:t>Іноземці та особи без громадянства, які мають намір набути українське громадянство або підтвердити свій рівень володіння українською мовою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8EE2" w14:textId="77777777" w:rsidR="001570AF" w:rsidRDefault="00E9796D">
            <w:pPr>
              <w:spacing w:after="0" w:line="259" w:lineRule="auto"/>
              <w:ind w:left="476" w:firstLine="0"/>
              <w:jc w:val="left"/>
            </w:pPr>
            <w:r>
              <w:t>Позитивний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DB51BF7" w14:textId="1B5B7F0C" w:rsidR="001570AF" w:rsidRDefault="00E9796D" w:rsidP="00870C9C">
            <w:pPr>
              <w:spacing w:after="0" w:line="259" w:lineRule="auto"/>
              <w:ind w:left="71" w:right="72" w:firstLine="0"/>
            </w:pPr>
            <w:r>
              <w:t xml:space="preserve">Дозволить вказаним особам забезпечити дотримання вимог Закону України «Про забезпечення функціонування української мови як державної» </w:t>
            </w:r>
          </w:p>
        </w:tc>
      </w:tr>
      <w:tr w:rsidR="001570AF" w14:paraId="5C884556" w14:textId="77777777" w:rsidTr="00737BFC">
        <w:trPr>
          <w:trHeight w:val="3394"/>
        </w:trPr>
        <w:tc>
          <w:tcPr>
            <w:tcW w:w="2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3C454" w14:textId="05828B0C" w:rsidR="001570AF" w:rsidRDefault="00E9796D" w:rsidP="00870C9C">
            <w:pPr>
              <w:spacing w:after="0" w:line="245" w:lineRule="auto"/>
              <w:ind w:left="68" w:firstLine="74"/>
            </w:pPr>
            <w:r>
              <w:t>Фахівці законодавчої діяльності та нормопроєктування, працівники органів державної влади, установ, організацій; наукові, науково- педагогічні, педагогічні працівники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C686" w14:textId="77777777" w:rsidR="001570AF" w:rsidRDefault="00E9796D">
            <w:pPr>
              <w:spacing w:after="0" w:line="259" w:lineRule="auto"/>
              <w:ind w:left="476" w:firstLine="0"/>
              <w:jc w:val="left"/>
            </w:pPr>
            <w:r>
              <w:t>Позитивний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FFCDD5" w14:textId="6DFD2744" w:rsidR="001570AF" w:rsidRDefault="00E9796D" w:rsidP="00870C9C">
            <w:pPr>
              <w:spacing w:after="0" w:line="259" w:lineRule="auto"/>
              <w:ind w:left="71" w:right="71" w:firstLine="0"/>
            </w:pPr>
            <w:r>
              <w:t xml:space="preserve">Дозволить </w:t>
            </w:r>
            <w:r w:rsidR="00870C9C">
              <w:t>застосовувати</w:t>
            </w:r>
            <w:r>
              <w:t xml:space="preserve"> стандарти державної мови в офіційній комунікації, під час розроблення проєктів нормативно-правових актів і актів індивідуальної дії органів державної влади</w:t>
            </w:r>
          </w:p>
        </w:tc>
      </w:tr>
      <w:tr w:rsidR="001570AF" w14:paraId="15478E7A" w14:textId="77777777" w:rsidTr="00737BFC">
        <w:trPr>
          <w:trHeight w:val="1737"/>
        </w:trPr>
        <w:tc>
          <w:tcPr>
            <w:tcW w:w="2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D8CFBA" w14:textId="77777777" w:rsidR="001570AF" w:rsidRDefault="00E9796D">
            <w:pPr>
              <w:spacing w:after="0" w:line="259" w:lineRule="auto"/>
              <w:ind w:left="68" w:right="70" w:firstLine="74"/>
            </w:pPr>
            <w:r>
              <w:t xml:space="preserve">Фахівці медичної, судової, юридичної діяльності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0A76" w14:textId="77777777" w:rsidR="001570AF" w:rsidRDefault="00E9796D">
            <w:pPr>
              <w:spacing w:after="0" w:line="259" w:lineRule="auto"/>
              <w:ind w:left="476" w:firstLine="0"/>
              <w:jc w:val="left"/>
            </w:pPr>
            <w:r>
              <w:t>Позитивний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6EBF5F5" w14:textId="586E363B" w:rsidR="001570AF" w:rsidRDefault="00E9796D" w:rsidP="00870C9C">
            <w:pPr>
              <w:spacing w:after="0" w:line="259" w:lineRule="auto"/>
              <w:ind w:left="71" w:firstLine="0"/>
            </w:pPr>
            <w:r>
              <w:t xml:space="preserve">Дозволить </w:t>
            </w:r>
            <w:r w:rsidR="00870C9C">
              <w:t>застосоувати</w:t>
            </w:r>
            <w:r>
              <w:t xml:space="preserve"> стандарти державної мови в офіційній комунікації, під час службової діяльності</w:t>
            </w:r>
          </w:p>
        </w:tc>
      </w:tr>
    </w:tbl>
    <w:p w14:paraId="0A852D0A" w14:textId="77777777" w:rsidR="00870C9C" w:rsidRDefault="00870C9C">
      <w:pPr>
        <w:ind w:left="-15" w:firstLine="0"/>
      </w:pPr>
    </w:p>
    <w:p w14:paraId="753199F6" w14:textId="321D8E35" w:rsidR="001570AF" w:rsidRDefault="00E9796D">
      <w:pPr>
        <w:ind w:left="-15" w:firstLine="0"/>
      </w:pPr>
      <w:r>
        <w:t>Голова Національної комісії</w:t>
      </w:r>
    </w:p>
    <w:p w14:paraId="0AEC62B0" w14:textId="2B4A9F6D" w:rsidR="001570AF" w:rsidRDefault="00E9796D">
      <w:pPr>
        <w:tabs>
          <w:tab w:val="right" w:pos="9567"/>
        </w:tabs>
        <w:spacing w:after="313"/>
        <w:ind w:left="-15" w:firstLine="0"/>
        <w:jc w:val="left"/>
      </w:pPr>
      <w:r>
        <w:t>зі стандартів державної мови</w:t>
      </w:r>
      <w:r>
        <w:tab/>
      </w:r>
      <w:r w:rsidR="00870C9C">
        <w:t>Юлія ЧЕРНОБРОВ</w:t>
      </w:r>
    </w:p>
    <w:p w14:paraId="2992B834" w14:textId="68D2F176" w:rsidR="001570AF" w:rsidRDefault="00E9796D">
      <w:pPr>
        <w:spacing w:after="0" w:line="259" w:lineRule="auto"/>
        <w:ind w:firstLine="0"/>
        <w:jc w:val="left"/>
      </w:pPr>
      <w:r>
        <w:t>____ ______________ 2023 р.</w:t>
      </w:r>
    </w:p>
    <w:sectPr w:rsidR="001570AF" w:rsidSect="006E259B">
      <w:headerReference w:type="even" r:id="rId8"/>
      <w:headerReference w:type="default" r:id="rId9"/>
      <w:headerReference w:type="first" r:id="rId10"/>
      <w:pgSz w:w="11910" w:h="16840"/>
      <w:pgMar w:top="1322" w:right="743" w:bottom="1418" w:left="16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705C" w14:textId="77777777" w:rsidR="009203B0" w:rsidRDefault="009203B0">
      <w:pPr>
        <w:spacing w:after="0" w:line="240" w:lineRule="auto"/>
      </w:pPr>
      <w:r>
        <w:separator/>
      </w:r>
    </w:p>
  </w:endnote>
  <w:endnote w:type="continuationSeparator" w:id="0">
    <w:p w14:paraId="17B0570B" w14:textId="77777777" w:rsidR="009203B0" w:rsidRDefault="0092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2E8F" w14:textId="77777777" w:rsidR="009203B0" w:rsidRDefault="009203B0">
      <w:pPr>
        <w:spacing w:after="0" w:line="240" w:lineRule="auto"/>
      </w:pPr>
      <w:r>
        <w:separator/>
      </w:r>
    </w:p>
  </w:footnote>
  <w:footnote w:type="continuationSeparator" w:id="0">
    <w:p w14:paraId="740EDED5" w14:textId="77777777" w:rsidR="009203B0" w:rsidRDefault="0092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FDF1" w14:textId="77777777" w:rsidR="001570AF" w:rsidRDefault="00E9796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44C2" w14:textId="77777777" w:rsidR="001570AF" w:rsidRDefault="00E9796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99F2" w14:textId="77777777" w:rsidR="001570AF" w:rsidRDefault="001570AF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B0B44"/>
    <w:multiLevelType w:val="hybridMultilevel"/>
    <w:tmpl w:val="AAE8052C"/>
    <w:lvl w:ilvl="0" w:tplc="A6B284A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4FB96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56EA4A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0FDD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E7B82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6BD6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8405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798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8D94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968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AF"/>
    <w:rsid w:val="001570AF"/>
    <w:rsid w:val="003C7FFB"/>
    <w:rsid w:val="006E259B"/>
    <w:rsid w:val="00737BFC"/>
    <w:rsid w:val="00870C9C"/>
    <w:rsid w:val="009203B0"/>
    <w:rsid w:val="00C00AEE"/>
    <w:rsid w:val="00E14ACD"/>
    <w:rsid w:val="00E339B1"/>
    <w:rsid w:val="00E953B9"/>
    <w:rsid w:val="00E966FF"/>
    <w:rsid w:val="00E9796D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6683"/>
  <w15:docId w15:val="{4960E634-774C-455F-A2E7-3F7A4AC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firstLine="68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3" w:line="257" w:lineRule="auto"/>
      <w:ind w:left="10" w:right="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37B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va.gov.ua/storage/app/sites/19/uploaded-files/zvitgromobgovorennyapolozhennyastandartikopiy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5236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2</cp:revision>
  <dcterms:created xsi:type="dcterms:W3CDTF">2023-11-07T08:04:00Z</dcterms:created>
  <dcterms:modified xsi:type="dcterms:W3CDTF">2023-11-07T08:04:00Z</dcterms:modified>
</cp:coreProperties>
</file>