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DE7E" w14:textId="77777777" w:rsidR="001B7B2D" w:rsidRPr="00C672C8" w:rsidRDefault="001B7B2D" w:rsidP="00C672C8">
      <w:pPr>
        <w:widowControl w:val="0"/>
        <w:autoSpaceDE w:val="0"/>
        <w:autoSpaceDN w:val="0"/>
        <w:spacing w:before="62" w:after="0" w:line="240" w:lineRule="auto"/>
        <w:ind w:right="-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65A67CA9" w14:textId="77777777" w:rsidR="001B7B2D" w:rsidRPr="00C672C8" w:rsidRDefault="001B7B2D" w:rsidP="00C672C8">
      <w:pPr>
        <w:widowControl w:val="0"/>
        <w:autoSpaceDE w:val="0"/>
        <w:autoSpaceDN w:val="0"/>
        <w:spacing w:before="24"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sz w:val="28"/>
          <w:szCs w:val="28"/>
        </w:rPr>
        <w:t>до проєкту рішення Національної комісії зі стандартів державної мови</w:t>
      </w:r>
    </w:p>
    <w:p w14:paraId="3F094705" w14:textId="050F333E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2714" w:rsidRPr="00C672C8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Порядку перевірки рівня володіння державною мовою, затвердженого рішенням Національної комісії зі стандартів державної мови від 13 травня 2021 року № 20</w:t>
      </w:r>
      <w:r w:rsidRPr="00C672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1F66CAC" w14:textId="77777777" w:rsidR="001B7B2D" w:rsidRPr="00C672C8" w:rsidRDefault="001B7B2D" w:rsidP="00C672C8">
      <w:pPr>
        <w:widowControl w:val="0"/>
        <w:autoSpaceDE w:val="0"/>
        <w:autoSpaceDN w:val="0"/>
        <w:spacing w:before="9"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3E4DD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Мета</w:t>
      </w:r>
    </w:p>
    <w:p w14:paraId="215FDF15" w14:textId="7AAE8D57" w:rsidR="001B7B2D" w:rsidRPr="00C672C8" w:rsidRDefault="001B7B2D" w:rsidP="00C672C8">
      <w:pPr>
        <w:widowControl w:val="0"/>
        <w:autoSpaceDE w:val="0"/>
        <w:autoSpaceDN w:val="0"/>
        <w:spacing w:before="26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Метою прийняття проєкту рішення Національної комісії зі стандартів державної мови України (далі – Комісія) «</w:t>
      </w:r>
      <w:r w:rsidR="00A02714" w:rsidRPr="00C672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Порядку перевірки рівня володіння державною мовою, затвердженого рішенням Національної комісії зі стандартів державної мови від 13 травня 2021 року № 20</w:t>
      </w:r>
      <w:r w:rsidRPr="00C672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(далі – проєкт рішення) є реалізація повноважень Комісії з організації та проведення іспитів на рівень володіння державною мовою, оптимізації кількісного складу </w:t>
      </w:r>
      <w:r w:rsidRPr="00C67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іспитових комісій;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врегулювання роботи екзаменатор</w:t>
      </w:r>
      <w:r w:rsidR="00CC5F40" w:rsidRPr="00C672C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Комісії з метою удосконалення процедури та механізму перевірки й оцінювання завдань відкритого типу письмової частини іспиту на рівень володіння державною мовою; часовий алгоритм </w:t>
      </w:r>
      <w:r w:rsidR="00965DD0" w:rsidRPr="00C672C8">
        <w:rPr>
          <w:rFonts w:ascii="Times New Roman" w:eastAsia="Times New Roman" w:hAnsi="Times New Roman" w:cs="Times New Roman"/>
          <w:sz w:val="28"/>
          <w:szCs w:val="28"/>
        </w:rPr>
        <w:t>встановлення результатів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іспиту на рівень володіння державною мовою</w:t>
      </w:r>
      <w:r w:rsidR="00965DD0" w:rsidRPr="00C672C8">
        <w:rPr>
          <w:rFonts w:ascii="Times New Roman" w:eastAsia="Times New Roman" w:hAnsi="Times New Roman" w:cs="Times New Roman"/>
          <w:sz w:val="28"/>
          <w:szCs w:val="28"/>
        </w:rPr>
        <w:t xml:space="preserve"> для виконання службових обов’язків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DF893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61857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 необхідності прийняття</w:t>
      </w:r>
      <w:r w:rsidRPr="00C672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акта</w:t>
      </w:r>
    </w:p>
    <w:p w14:paraId="55507BAD" w14:textId="4989D30B" w:rsidR="001B7B2D" w:rsidRPr="00C672C8" w:rsidRDefault="001B7B2D" w:rsidP="00C672C8">
      <w:pPr>
        <w:widowControl w:val="0"/>
        <w:autoSpaceDE w:val="0"/>
        <w:autoSpaceDN w:val="0"/>
        <w:spacing w:before="25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розробила Комісія за власною ініціативою</w:t>
      </w:r>
      <w:r w:rsidR="00CC5BBD" w:rsidRPr="00C67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BD"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відповідно до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вимог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r w:rsidRPr="00C67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проведення іспитів на рівень володіння державною мовою, 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затвердженого постановою Кабінету Міністрів України від 14 квітня 2021 року №</w:t>
      </w:r>
      <w:r w:rsidR="00CC5BBD" w:rsidRPr="00C67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ED3903" w:rsidRPr="00C672C8">
        <w:rPr>
          <w:rFonts w:ascii="Times New Roman" w:eastAsia="Times New Roman" w:hAnsi="Times New Roman" w:cs="Times New Roman"/>
          <w:sz w:val="28"/>
          <w:szCs w:val="28"/>
        </w:rPr>
        <w:t xml:space="preserve"> з метою</w:t>
      </w:r>
      <w:r w:rsidR="00FE095D" w:rsidRPr="00C67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удосконалення механізму регулювання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i/>
          <w:iCs/>
          <w:sz w:val="28"/>
          <w:szCs w:val="28"/>
        </w:rPr>
        <w:t>кількісного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 складу іспитової комісії</w:t>
      </w:r>
      <w:r w:rsidR="00CC3FB0" w:rsidRPr="00C672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39AE"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оптимізації роботи </w:t>
      </w:r>
      <w:r w:rsidR="00AA39AE" w:rsidRPr="00C672C8">
        <w:rPr>
          <w:rFonts w:ascii="Times New Roman" w:eastAsia="Times New Roman" w:hAnsi="Times New Roman" w:cs="Times New Roman"/>
          <w:sz w:val="28"/>
          <w:szCs w:val="28"/>
        </w:rPr>
        <w:t xml:space="preserve">членів іспитової комісії, </w:t>
      </w:r>
      <w:r w:rsidR="00AA39AE"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скорочення затраченого часу</w:t>
      </w:r>
      <w:r w:rsidR="00AA39AE" w:rsidRPr="00C672C8">
        <w:rPr>
          <w:rFonts w:ascii="Times New Roman" w:eastAsia="Times New Roman" w:hAnsi="Times New Roman" w:cs="Times New Roman"/>
          <w:sz w:val="28"/>
          <w:szCs w:val="28"/>
        </w:rPr>
        <w:t xml:space="preserve"> на перевірку й оцінювання завдань від</w:t>
      </w:r>
      <w:r w:rsidR="00585059" w:rsidRPr="00C672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39AE" w:rsidRPr="00C672C8">
        <w:rPr>
          <w:rFonts w:ascii="Times New Roman" w:eastAsia="Times New Roman" w:hAnsi="Times New Roman" w:cs="Times New Roman"/>
          <w:sz w:val="28"/>
          <w:szCs w:val="28"/>
        </w:rPr>
        <w:t xml:space="preserve">ритого типу письмової та усної частин іспиту на рівень володіння державної мовою (для виконання службових обов’язків) та </w:t>
      </w:r>
      <w:r w:rsidR="00AA39AE"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економії</w:t>
      </w:r>
      <w:r w:rsidR="00902855"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бюджетних коштів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A56CEC" w14:textId="2780470A" w:rsidR="001B7B2D" w:rsidRPr="00C672C8" w:rsidRDefault="001B7B2D" w:rsidP="00C672C8">
      <w:pPr>
        <w:widowControl w:val="0"/>
        <w:autoSpaceDE w:val="0"/>
        <w:autoSpaceDN w:val="0"/>
        <w:spacing w:before="18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Прийняття проєкту дозволить удосконалити механізм роботи іспитових комісій</w:t>
      </w:r>
      <w:r w:rsidR="00CB547F" w:rsidRPr="00C672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екзаменаторів Комісії, </w:t>
      </w:r>
      <w:r w:rsidR="00CC3FB0" w:rsidRPr="00C672C8">
        <w:rPr>
          <w:rFonts w:ascii="Times New Roman" w:eastAsia="Times New Roman" w:hAnsi="Times New Roman" w:cs="Times New Roman"/>
          <w:sz w:val="28"/>
          <w:szCs w:val="28"/>
        </w:rPr>
        <w:t xml:space="preserve">пришвидшити встановлення результатів іспитів </w:t>
      </w:r>
      <w:r w:rsidR="003B1FBF" w:rsidRPr="00C672C8">
        <w:rPr>
          <w:rFonts w:ascii="Times New Roman" w:eastAsia="Times New Roman" w:hAnsi="Times New Roman" w:cs="Times New Roman"/>
          <w:sz w:val="28"/>
          <w:szCs w:val="28"/>
        </w:rPr>
        <w:t xml:space="preserve">на рівень володіння державної мовою (для виконання службових обов’язків),  </w:t>
      </w:r>
      <w:r w:rsidR="009313D5" w:rsidRPr="00C672C8">
        <w:rPr>
          <w:rFonts w:ascii="Times New Roman" w:eastAsia="Times New Roman" w:hAnsi="Times New Roman" w:cs="Times New Roman"/>
          <w:sz w:val="28"/>
          <w:szCs w:val="28"/>
        </w:rPr>
        <w:t xml:space="preserve">зекономити бюджетні </w:t>
      </w:r>
      <w:r w:rsidR="00150169" w:rsidRPr="00C672C8">
        <w:rPr>
          <w:rFonts w:ascii="Times New Roman" w:eastAsia="Times New Roman" w:hAnsi="Times New Roman" w:cs="Times New Roman"/>
          <w:sz w:val="28"/>
          <w:szCs w:val="28"/>
        </w:rPr>
        <w:t xml:space="preserve">кошти, передбачені на відшкодування витрат за надання послуг із проведення іспитів та перевірки їх результатів, </w:t>
      </w:r>
      <w:r w:rsidR="001C4923" w:rsidRPr="00C672C8">
        <w:rPr>
          <w:rFonts w:ascii="Times New Roman" w:eastAsia="Times New Roman" w:hAnsi="Times New Roman" w:cs="Times New Roman"/>
          <w:sz w:val="28"/>
          <w:szCs w:val="28"/>
        </w:rPr>
        <w:t xml:space="preserve">зокрема </w:t>
      </w:r>
      <w:r w:rsidR="00150169" w:rsidRPr="00C672C8">
        <w:rPr>
          <w:rFonts w:ascii="Times New Roman" w:eastAsia="Times New Roman" w:hAnsi="Times New Roman" w:cs="Times New Roman"/>
          <w:sz w:val="28"/>
          <w:szCs w:val="28"/>
        </w:rPr>
        <w:t>іспит</w:t>
      </w:r>
      <w:r w:rsidR="001C4923" w:rsidRPr="00C672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E095D" w:rsidRPr="00C672C8">
        <w:rPr>
          <w:rFonts w:ascii="Times New Roman" w:eastAsia="Times New Roman" w:hAnsi="Times New Roman" w:cs="Times New Roman"/>
          <w:sz w:val="28"/>
          <w:szCs w:val="28"/>
        </w:rPr>
        <w:t>на рівень володіння державної мовою (для виконання службових обов’язків)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061BD" w14:textId="77777777" w:rsidR="001B7B2D" w:rsidRPr="00C672C8" w:rsidRDefault="001B7B2D" w:rsidP="00C672C8">
      <w:pPr>
        <w:widowControl w:val="0"/>
        <w:autoSpaceDE w:val="0"/>
        <w:autoSpaceDN w:val="0"/>
        <w:spacing w:before="9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27EDA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 положення проєкту</w:t>
      </w:r>
      <w:r w:rsidRPr="00C672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акта</w:t>
      </w:r>
    </w:p>
    <w:p w14:paraId="12896051" w14:textId="6D4CE25D" w:rsidR="001B7B2D" w:rsidRPr="00C672C8" w:rsidRDefault="001B7B2D" w:rsidP="00C672C8">
      <w:pPr>
        <w:widowControl w:val="0"/>
        <w:autoSpaceDE w:val="0"/>
        <w:autoSpaceDN w:val="0"/>
        <w:spacing w:before="25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впровадження змін Комісія встановить кількісний склад іспитових комісій для іспитів на </w:t>
      </w:r>
      <w:r w:rsidRPr="00C67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рівень володіння державною мовою</w:t>
      </w:r>
      <w:r w:rsidR="00D11741" w:rsidRPr="00C67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необхідний для </w:t>
      </w:r>
      <w:r w:rsidRPr="00C67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зайняття визначених законами посад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0C54A" w14:textId="77777777" w:rsidR="001B7B2D" w:rsidRPr="00C672C8" w:rsidRDefault="001B7B2D" w:rsidP="00C672C8">
      <w:pPr>
        <w:widowControl w:val="0"/>
        <w:autoSpaceDE w:val="0"/>
        <w:autoSpaceDN w:val="0"/>
        <w:spacing w:before="3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D74C2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Правові</w:t>
      </w:r>
      <w:r w:rsidRPr="00C672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аспекти</w:t>
      </w:r>
    </w:p>
    <w:p w14:paraId="50D51E40" w14:textId="77777777" w:rsidR="001B7B2D" w:rsidRPr="00C672C8" w:rsidRDefault="001B7B2D" w:rsidP="00C672C8">
      <w:pPr>
        <w:widowControl w:val="0"/>
        <w:autoSpaceDE w:val="0"/>
        <w:autoSpaceDN w:val="0"/>
        <w:spacing w:before="25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Перелік нормативно-правових актів, що діють у відповідній сфері правового регулювання: Закон України «Про забезпечення функціонування української мови як державної», Порядок проведення іспитів на рівень володіння державною мовою, затверджений постановою Кабінету Міністрів України від 14 квітня 2021 року № 409, Положення про Національну комісію зі стандартів державної мови, затверджене постановою Кабінету Міністрів України від 06 листопада 2019 року № 911, рішення Національної комісії зі стандартів державної мови від 13 травня 2021 року № 20 «Про затвердження Порядку перевірки рівня володіння державною мовою, єдиних вимог до процедури проведення іспитів та критеріїв оцінювання».</w:t>
      </w:r>
    </w:p>
    <w:p w14:paraId="1AF66D0C" w14:textId="77777777" w:rsidR="001B7B2D" w:rsidRPr="00C672C8" w:rsidRDefault="001B7B2D" w:rsidP="00C672C8">
      <w:pPr>
        <w:widowControl w:val="0"/>
        <w:autoSpaceDE w:val="0"/>
        <w:autoSpaceDN w:val="0"/>
        <w:spacing w:before="10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21922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"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Фінансово-економічне</w:t>
      </w:r>
      <w:r w:rsidRPr="00C672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14:paraId="034B1AE7" w14:textId="77777777" w:rsidR="001B7B2D" w:rsidRPr="00C672C8" w:rsidRDefault="001B7B2D" w:rsidP="00C672C8">
      <w:pPr>
        <w:widowControl w:val="0"/>
        <w:autoSpaceDE w:val="0"/>
        <w:autoSpaceDN w:val="0"/>
        <w:spacing w:before="25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Реалізація проєкту рішення не потребує додаткового фінансування з державного чи місцевого бюджетів.</w:t>
      </w:r>
    </w:p>
    <w:p w14:paraId="7353B29B" w14:textId="77777777" w:rsidR="001B7B2D" w:rsidRPr="00C672C8" w:rsidRDefault="001B7B2D" w:rsidP="00C672C8">
      <w:pPr>
        <w:widowControl w:val="0"/>
        <w:autoSpaceDE w:val="0"/>
        <w:autoSpaceDN w:val="0"/>
        <w:spacing w:before="7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7E855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Позиція заінтересованих</w:t>
      </w:r>
      <w:r w:rsidRPr="00C672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сторін</w:t>
      </w:r>
    </w:p>
    <w:p w14:paraId="70651F65" w14:textId="77777777" w:rsidR="001B7B2D" w:rsidRPr="00C672C8" w:rsidRDefault="001B7B2D" w:rsidP="00C672C8">
      <w:pPr>
        <w:widowControl w:val="0"/>
        <w:autoSpaceDE w:val="0"/>
        <w:autoSpaceDN w:val="0"/>
        <w:spacing w:before="15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не стосується питань функціонування місцевого самоврядування. Проєкт рішення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самоврядування.</w:t>
      </w:r>
    </w:p>
    <w:p w14:paraId="72724AC4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не стосується соціально-трудової сфери, прав осіб з інвалідністю.</w:t>
      </w:r>
    </w:p>
    <w:p w14:paraId="25AB42C2" w14:textId="77777777" w:rsidR="001B7B2D" w:rsidRPr="00C672C8" w:rsidRDefault="001B7B2D" w:rsidP="00C672C8">
      <w:pPr>
        <w:widowControl w:val="0"/>
        <w:autoSpaceDE w:val="0"/>
        <w:autoSpaceDN w:val="0"/>
        <w:spacing w:before="13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не потребує погодження з Науковим комітетом Національної ради України з питань розвитку науки і технологій.</w:t>
      </w:r>
    </w:p>
    <w:p w14:paraId="362CC233" w14:textId="77777777" w:rsidR="001B7B2D" w:rsidRPr="00C672C8" w:rsidRDefault="001B7B2D" w:rsidP="00C672C8">
      <w:pPr>
        <w:widowControl w:val="0"/>
        <w:autoSpaceDE w:val="0"/>
        <w:autoSpaceDN w:val="0"/>
        <w:spacing w:before="3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3016E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r w:rsidRPr="00C672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відповідності</w:t>
      </w:r>
    </w:p>
    <w:p w14:paraId="4FFAD02C" w14:textId="77777777" w:rsidR="001B7B2D" w:rsidRPr="00C672C8" w:rsidRDefault="001B7B2D" w:rsidP="00C672C8">
      <w:pPr>
        <w:widowControl w:val="0"/>
        <w:autoSpaceDE w:val="0"/>
        <w:autoSpaceDN w:val="0"/>
        <w:spacing w:before="26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не містить положень, що стосуються зобов’язань України у сфері європейської інтеграції.</w:t>
      </w:r>
    </w:p>
    <w:p w14:paraId="64110186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У проєкті рішення відсутні положення, що стосуються прав та свобод, гарантованих Конвенцією про захист прав людини і основоположних свобод, а також відсутні положення, які порушують принцип забезпечення рівних прав та можливостей жінок і чоловіків.</w:t>
      </w:r>
    </w:p>
    <w:p w14:paraId="7B744DD7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Проєкт рішення не потребує проведення антидискримінаційної експертизи, оскільки в ньому відсутні положення, які містять ознаки дискримінації.</w:t>
      </w:r>
    </w:p>
    <w:p w14:paraId="37DB1AFB" w14:textId="799BAAA0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У проєкті рішення відсутні правила і процедури, які можуть містити ризики вчинення корупційних правопорушень та правопорушень, пов’язаних </w:t>
      </w:r>
      <w:r w:rsidR="00A500F6" w:rsidRPr="00C672C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з корупцією.</w:t>
      </w:r>
    </w:p>
    <w:p w14:paraId="6BA6DBFC" w14:textId="77777777" w:rsidR="001B7B2D" w:rsidRPr="00C672C8" w:rsidRDefault="001B7B2D" w:rsidP="00C672C8">
      <w:pPr>
        <w:widowControl w:val="0"/>
        <w:autoSpaceDE w:val="0"/>
        <w:autoSpaceDN w:val="0"/>
        <w:spacing w:before="6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2335A" w14:textId="77777777" w:rsidR="001B7B2D" w:rsidRPr="00C672C8" w:rsidRDefault="001B7B2D" w:rsidP="00C672C8">
      <w:pPr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240" w:lineRule="auto"/>
        <w:ind w:left="0" w:right="-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</w:t>
      </w:r>
      <w:r w:rsidRPr="00C672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72C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результатів.</w:t>
      </w:r>
    </w:p>
    <w:p w14:paraId="1B88F79D" w14:textId="6E551A90" w:rsidR="001B7B2D" w:rsidRPr="00C672C8" w:rsidRDefault="001B7B2D" w:rsidP="00C672C8">
      <w:pPr>
        <w:widowControl w:val="0"/>
        <w:autoSpaceDE w:val="0"/>
        <w:autoSpaceDN w:val="0"/>
        <w:spacing w:before="2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Прийняття проєкту визначить порядок взаємодії Комісії з екзаменаторами Комісії щодо </w:t>
      </w:r>
      <w:r w:rsidR="00A500F6" w:rsidRPr="00C672C8">
        <w:rPr>
          <w:rFonts w:ascii="Times New Roman" w:eastAsia="Times New Roman" w:hAnsi="Times New Roman" w:cs="Times New Roman"/>
          <w:sz w:val="28"/>
          <w:szCs w:val="28"/>
        </w:rPr>
        <w:t xml:space="preserve">обсягу наданих послуг із перевірки й оцінювання </w:t>
      </w:r>
      <w:r w:rsidR="00585059" w:rsidRPr="00C672C8">
        <w:rPr>
          <w:rFonts w:ascii="Times New Roman" w:eastAsia="Times New Roman" w:hAnsi="Times New Roman" w:cs="Times New Roman"/>
          <w:sz w:val="28"/>
          <w:szCs w:val="28"/>
        </w:rPr>
        <w:t xml:space="preserve">завдань відкритого </w:t>
      </w:r>
      <w:r w:rsidR="00585059" w:rsidRPr="00C672C8">
        <w:rPr>
          <w:rFonts w:ascii="Times New Roman" w:eastAsia="Times New Roman" w:hAnsi="Times New Roman" w:cs="Times New Roman"/>
          <w:sz w:val="28"/>
          <w:szCs w:val="28"/>
        </w:rPr>
        <w:lastRenderedPageBreak/>
        <w:t>типу письмової та усної частин іспиту на рівень володіння державної мовою (для виконання службових обов’язків)</w:t>
      </w:r>
      <w:r w:rsidR="00C657A9" w:rsidRPr="00C672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0F7B" w:rsidRPr="00C672C8">
        <w:rPr>
          <w:rFonts w:ascii="Times New Roman" w:eastAsia="Times New Roman" w:hAnsi="Times New Roman" w:cs="Times New Roman"/>
          <w:sz w:val="28"/>
          <w:szCs w:val="28"/>
        </w:rPr>
        <w:t xml:space="preserve">оптимізує 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>кільк</w:t>
      </w:r>
      <w:r w:rsidR="00700F7B" w:rsidRPr="00C672C8">
        <w:rPr>
          <w:rFonts w:ascii="Times New Roman" w:eastAsia="Times New Roman" w:hAnsi="Times New Roman" w:cs="Times New Roman"/>
          <w:sz w:val="28"/>
          <w:szCs w:val="28"/>
        </w:rPr>
        <w:t>існий склад іспитових комісі</w:t>
      </w:r>
      <w:r w:rsidR="00EE6D9E" w:rsidRPr="00C672C8"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708FF582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Реалізація проєкту рішення не матиме впливу на ринкове середовище, забезпечення захисту прав та інтересів суб’єктів господарювання, громадян і держави (аналіз регуляторного впливу); розвиток регіонів (підвищення чи зниження спроможності територіальних громад, врахування потреб регіонів, наявність специфічного чи непропорційного впливу на окремі регіони тощо); ринок праці (збереження існуючих і створення нових робочих місць, підвищення рівня зайнятості населення тощо); 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тощо); 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підвищення чи зниження рівня небезпеки техногенного та природного характеру тощо); інші сфери суспільних відносин.</w:t>
      </w:r>
    </w:p>
    <w:p w14:paraId="5DCA7443" w14:textId="77777777" w:rsidR="001B7B2D" w:rsidRPr="00C672C8" w:rsidRDefault="001B7B2D" w:rsidP="00C672C8">
      <w:pPr>
        <w:widowControl w:val="0"/>
        <w:autoSpaceDE w:val="0"/>
        <w:autoSpaceDN w:val="0"/>
        <w:spacing w:before="24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Водночас проєкт акта матиме вплив на ефективність та якість роботи Національної комісії зі стандартів державної мови, а також на забезпечення основних завдань, визначених законодавством, щодо належного проведення іспитів на рівень володіння державною мовою.</w:t>
      </w:r>
    </w:p>
    <w:p w14:paraId="3ADB07E1" w14:textId="77777777" w:rsidR="001B7B2D" w:rsidRPr="00C672C8" w:rsidRDefault="001B7B2D" w:rsidP="00C672C8">
      <w:pPr>
        <w:widowControl w:val="0"/>
        <w:autoSpaceDE w:val="0"/>
        <w:autoSpaceDN w:val="0"/>
        <w:spacing w:before="24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119"/>
      </w:tblGrid>
      <w:tr w:rsidR="001B7B2D" w:rsidRPr="00C672C8" w14:paraId="1FB000A6" w14:textId="77777777" w:rsidTr="00FA0D7C">
        <w:trPr>
          <w:trHeight w:val="864"/>
        </w:trPr>
        <w:tc>
          <w:tcPr>
            <w:tcW w:w="3402" w:type="dxa"/>
            <w:vAlign w:val="center"/>
          </w:tcPr>
          <w:p w14:paraId="7FCA1EE6" w14:textId="77777777" w:rsidR="001B7B2D" w:rsidRPr="00C672C8" w:rsidRDefault="001B7B2D" w:rsidP="00C672C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Заінтересована особа</w:t>
            </w:r>
          </w:p>
        </w:tc>
        <w:tc>
          <w:tcPr>
            <w:tcW w:w="3402" w:type="dxa"/>
            <w:vAlign w:val="center"/>
          </w:tcPr>
          <w:p w14:paraId="0810476F" w14:textId="77777777" w:rsidR="001B7B2D" w:rsidRPr="00C672C8" w:rsidRDefault="001B7B2D" w:rsidP="00C672C8">
            <w:pPr>
              <w:ind w:left="142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3119" w:type="dxa"/>
            <w:vAlign w:val="center"/>
          </w:tcPr>
          <w:p w14:paraId="739113C2" w14:textId="77777777" w:rsidR="001B7B2D" w:rsidRPr="00C672C8" w:rsidRDefault="001B7B2D" w:rsidP="00C672C8">
            <w:pPr>
              <w:ind w:left="142" w:right="1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1B7B2D" w:rsidRPr="00C672C8" w14:paraId="11A26512" w14:textId="77777777" w:rsidTr="00FA0D7C">
        <w:trPr>
          <w:trHeight w:val="2156"/>
        </w:trPr>
        <w:tc>
          <w:tcPr>
            <w:tcW w:w="3402" w:type="dxa"/>
          </w:tcPr>
          <w:p w14:paraId="3E15ADDB" w14:textId="77777777" w:rsidR="001B7B2D" w:rsidRPr="00C672C8" w:rsidRDefault="001B7B2D" w:rsidP="00C672C8">
            <w:pPr>
              <w:ind w:left="142" w:right="2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Громадяни України, які зобов’язані володіти державною мовою та застосовувати її під час виконання службових обов’язків</w:t>
            </w:r>
          </w:p>
        </w:tc>
        <w:tc>
          <w:tcPr>
            <w:tcW w:w="3402" w:type="dxa"/>
          </w:tcPr>
          <w:p w14:paraId="60BB8452" w14:textId="77777777" w:rsidR="001B7B2D" w:rsidRPr="00C672C8" w:rsidRDefault="001B7B2D" w:rsidP="00C672C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119" w:type="dxa"/>
          </w:tcPr>
          <w:p w14:paraId="14D02EDC" w14:textId="77777777" w:rsidR="001B7B2D" w:rsidRPr="00C672C8" w:rsidRDefault="001B7B2D" w:rsidP="00C672C8">
            <w:pPr>
              <w:ind w:left="142" w:right="30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Дозволить вказаним особам виконати вимоги Закону України «Про забезпечення функціонування української мови як державної»</w:t>
            </w:r>
          </w:p>
        </w:tc>
      </w:tr>
      <w:tr w:rsidR="001B7B2D" w:rsidRPr="00C672C8" w14:paraId="44EF199C" w14:textId="77777777" w:rsidTr="00FA0D7C">
        <w:trPr>
          <w:trHeight w:val="942"/>
        </w:trPr>
        <w:tc>
          <w:tcPr>
            <w:tcW w:w="3402" w:type="dxa"/>
          </w:tcPr>
          <w:p w14:paraId="033096C8" w14:textId="77777777" w:rsidR="001B7B2D" w:rsidRPr="00C672C8" w:rsidRDefault="001B7B2D" w:rsidP="00C672C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Екзаменатори</w:t>
            </w:r>
          </w:p>
        </w:tc>
        <w:tc>
          <w:tcPr>
            <w:tcW w:w="3402" w:type="dxa"/>
          </w:tcPr>
          <w:p w14:paraId="7A1518F8" w14:textId="77777777" w:rsidR="001B7B2D" w:rsidRPr="00C672C8" w:rsidRDefault="001B7B2D" w:rsidP="00C672C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119" w:type="dxa"/>
          </w:tcPr>
          <w:p w14:paraId="166BE9A5" w14:textId="77777777" w:rsidR="001B7B2D" w:rsidRPr="00C672C8" w:rsidRDefault="001B7B2D" w:rsidP="00C672C8">
            <w:pPr>
              <w:ind w:left="142" w:right="5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72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Дозволить врегулювати обсяг роботи </w:t>
            </w:r>
          </w:p>
        </w:tc>
      </w:tr>
    </w:tbl>
    <w:p w14:paraId="255FB764" w14:textId="77777777" w:rsidR="001B7B2D" w:rsidRPr="00C672C8" w:rsidRDefault="001B7B2D" w:rsidP="00C672C8">
      <w:pPr>
        <w:widowControl w:val="0"/>
        <w:autoSpaceDE w:val="0"/>
        <w:autoSpaceDN w:val="0"/>
        <w:spacing w:before="8"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4E762" w14:textId="77777777" w:rsidR="00426027" w:rsidRDefault="00426027" w:rsidP="00C672C8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 в. о. </w:t>
      </w:r>
      <w:r w:rsidR="001B7B2D" w:rsidRPr="00C672C8">
        <w:rPr>
          <w:rFonts w:ascii="Times New Roman" w:eastAsia="Times New Roman" w:hAnsi="Times New Roman" w:cs="Times New Roman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640B4327" w14:textId="57C442D6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>Національної комісії</w:t>
      </w:r>
    </w:p>
    <w:p w14:paraId="1F1C287B" w14:textId="55A527A5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C8">
        <w:rPr>
          <w:rFonts w:ascii="Times New Roman" w:eastAsia="Times New Roman" w:hAnsi="Times New Roman" w:cs="Times New Roman"/>
          <w:sz w:val="28"/>
          <w:szCs w:val="28"/>
        </w:rPr>
        <w:t xml:space="preserve">зі стандартів державної мови </w:t>
      </w:r>
      <w:r w:rsidRPr="00C672C8">
        <w:rPr>
          <w:rFonts w:ascii="Times New Roman" w:eastAsia="Times New Roman" w:hAnsi="Times New Roman" w:cs="Times New Roman"/>
          <w:sz w:val="28"/>
          <w:szCs w:val="28"/>
        </w:rPr>
        <w:tab/>
      </w:r>
      <w:r w:rsidRPr="00C672C8">
        <w:rPr>
          <w:rFonts w:ascii="Times New Roman" w:eastAsia="Times New Roman" w:hAnsi="Times New Roman" w:cs="Times New Roman"/>
          <w:sz w:val="28"/>
          <w:szCs w:val="28"/>
        </w:rPr>
        <w:tab/>
      </w:r>
      <w:r w:rsidRPr="00C672C8">
        <w:rPr>
          <w:rFonts w:ascii="Times New Roman" w:eastAsia="Times New Roman" w:hAnsi="Times New Roman" w:cs="Times New Roman"/>
          <w:sz w:val="28"/>
          <w:szCs w:val="28"/>
        </w:rPr>
        <w:tab/>
      </w:r>
      <w:r w:rsidRPr="00C672C8">
        <w:rPr>
          <w:rFonts w:ascii="Times New Roman" w:eastAsia="Times New Roman" w:hAnsi="Times New Roman" w:cs="Times New Roman"/>
          <w:sz w:val="28"/>
          <w:szCs w:val="28"/>
        </w:rPr>
        <w:tab/>
      </w:r>
      <w:r w:rsidR="00426027">
        <w:rPr>
          <w:rFonts w:ascii="Times New Roman" w:eastAsia="Times New Roman" w:hAnsi="Times New Roman" w:cs="Times New Roman"/>
          <w:sz w:val="28"/>
          <w:szCs w:val="28"/>
        </w:rPr>
        <w:t xml:space="preserve">         Олександр МИРОНЧУК</w:t>
      </w:r>
    </w:p>
    <w:p w14:paraId="1649AD16" w14:textId="77777777" w:rsidR="001B7B2D" w:rsidRPr="00C672C8" w:rsidRDefault="001B7B2D" w:rsidP="00C672C8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0432B" w14:textId="2A8A27BD" w:rsidR="008C524F" w:rsidRPr="008C74A4" w:rsidRDefault="00C672C8" w:rsidP="008C74A4">
      <w:pPr>
        <w:widowControl w:val="0"/>
        <w:tabs>
          <w:tab w:val="left" w:pos="619"/>
          <w:tab w:val="left" w:pos="2268"/>
        </w:tabs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__________ </w:t>
      </w:r>
      <w:r w:rsidR="001B7B2D" w:rsidRPr="00C672C8">
        <w:rPr>
          <w:rFonts w:ascii="Times New Roman" w:eastAsia="Times New Roman" w:hAnsi="Times New Roman" w:cs="Times New Roman"/>
          <w:sz w:val="28"/>
          <w:szCs w:val="28"/>
        </w:rPr>
        <w:t>2024 року</w:t>
      </w:r>
    </w:p>
    <w:sectPr w:rsidR="008C524F" w:rsidRPr="008C74A4" w:rsidSect="002E2B78">
      <w:headerReference w:type="default" r:id="rId7"/>
      <w:pgSz w:w="12240" w:h="15840"/>
      <w:pgMar w:top="1276" w:right="800" w:bottom="1276" w:left="1520" w:header="7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5EF" w14:textId="77777777" w:rsidR="00E93DD1" w:rsidRDefault="00E93DD1">
      <w:pPr>
        <w:spacing w:after="0" w:line="240" w:lineRule="auto"/>
      </w:pPr>
      <w:r>
        <w:separator/>
      </w:r>
    </w:p>
  </w:endnote>
  <w:endnote w:type="continuationSeparator" w:id="0">
    <w:p w14:paraId="7E660D04" w14:textId="77777777" w:rsidR="00E93DD1" w:rsidRDefault="00E9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B7A" w14:textId="77777777" w:rsidR="00E93DD1" w:rsidRDefault="00E93DD1">
      <w:pPr>
        <w:spacing w:after="0" w:line="240" w:lineRule="auto"/>
      </w:pPr>
      <w:r>
        <w:separator/>
      </w:r>
    </w:p>
  </w:footnote>
  <w:footnote w:type="continuationSeparator" w:id="0">
    <w:p w14:paraId="27AF5FFC" w14:textId="77777777" w:rsidR="00E93DD1" w:rsidRDefault="00E9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047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69C8DCD" w14:textId="77777777" w:rsidR="002E2B78" w:rsidRPr="0034568B" w:rsidRDefault="00C07250">
        <w:pPr>
          <w:pStyle w:val="a5"/>
          <w:jc w:val="center"/>
          <w:rPr>
            <w:sz w:val="28"/>
            <w:szCs w:val="28"/>
          </w:rPr>
        </w:pPr>
        <w:r w:rsidRPr="0034568B">
          <w:rPr>
            <w:sz w:val="28"/>
            <w:szCs w:val="28"/>
          </w:rPr>
          <w:fldChar w:fldCharType="begin"/>
        </w:r>
        <w:r w:rsidRPr="0034568B">
          <w:rPr>
            <w:sz w:val="28"/>
            <w:szCs w:val="28"/>
          </w:rPr>
          <w:instrText>PAGE   \* MERGEFORMAT</w:instrText>
        </w:r>
        <w:r w:rsidRPr="0034568B">
          <w:rPr>
            <w:sz w:val="28"/>
            <w:szCs w:val="28"/>
          </w:rPr>
          <w:fldChar w:fldCharType="separate"/>
        </w:r>
        <w:r w:rsidRPr="0034568B">
          <w:rPr>
            <w:sz w:val="28"/>
            <w:szCs w:val="28"/>
          </w:rPr>
          <w:t>2</w:t>
        </w:r>
        <w:r w:rsidRPr="0034568B">
          <w:rPr>
            <w:sz w:val="28"/>
            <w:szCs w:val="28"/>
          </w:rPr>
          <w:fldChar w:fldCharType="end"/>
        </w:r>
      </w:p>
    </w:sdtContent>
  </w:sdt>
  <w:p w14:paraId="7EF8CE4E" w14:textId="77777777" w:rsidR="00F910EA" w:rsidRDefault="00E93DD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E73"/>
    <w:multiLevelType w:val="hybridMultilevel"/>
    <w:tmpl w:val="56F0D172"/>
    <w:lvl w:ilvl="0" w:tplc="AFDAEC3C">
      <w:start w:val="1"/>
      <w:numFmt w:val="decimal"/>
      <w:lvlText w:val="%1."/>
      <w:lvlJc w:val="left"/>
      <w:pPr>
        <w:ind w:left="516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1" w:tplc="732E15F0">
      <w:numFmt w:val="bullet"/>
      <w:lvlText w:val="•"/>
      <w:lvlJc w:val="left"/>
      <w:pPr>
        <w:ind w:left="1460" w:hanging="211"/>
      </w:pPr>
      <w:rPr>
        <w:rFonts w:hint="default"/>
        <w:lang w:val="uk-UA" w:eastAsia="en-US" w:bidi="ar-SA"/>
      </w:rPr>
    </w:lvl>
    <w:lvl w:ilvl="2" w:tplc="167254F0">
      <w:numFmt w:val="bullet"/>
      <w:lvlText w:val="•"/>
      <w:lvlJc w:val="left"/>
      <w:pPr>
        <w:ind w:left="2400" w:hanging="211"/>
      </w:pPr>
      <w:rPr>
        <w:rFonts w:hint="default"/>
        <w:lang w:val="uk-UA" w:eastAsia="en-US" w:bidi="ar-SA"/>
      </w:rPr>
    </w:lvl>
    <w:lvl w:ilvl="3" w:tplc="E612FE72">
      <w:numFmt w:val="bullet"/>
      <w:lvlText w:val="•"/>
      <w:lvlJc w:val="left"/>
      <w:pPr>
        <w:ind w:left="3340" w:hanging="211"/>
      </w:pPr>
      <w:rPr>
        <w:rFonts w:hint="default"/>
        <w:lang w:val="uk-UA" w:eastAsia="en-US" w:bidi="ar-SA"/>
      </w:rPr>
    </w:lvl>
    <w:lvl w:ilvl="4" w:tplc="E68C1CD6">
      <w:numFmt w:val="bullet"/>
      <w:lvlText w:val="•"/>
      <w:lvlJc w:val="left"/>
      <w:pPr>
        <w:ind w:left="4280" w:hanging="211"/>
      </w:pPr>
      <w:rPr>
        <w:rFonts w:hint="default"/>
        <w:lang w:val="uk-UA" w:eastAsia="en-US" w:bidi="ar-SA"/>
      </w:rPr>
    </w:lvl>
    <w:lvl w:ilvl="5" w:tplc="AEC8C2EC">
      <w:numFmt w:val="bullet"/>
      <w:lvlText w:val="•"/>
      <w:lvlJc w:val="left"/>
      <w:pPr>
        <w:ind w:left="5220" w:hanging="211"/>
      </w:pPr>
      <w:rPr>
        <w:rFonts w:hint="default"/>
        <w:lang w:val="uk-UA" w:eastAsia="en-US" w:bidi="ar-SA"/>
      </w:rPr>
    </w:lvl>
    <w:lvl w:ilvl="6" w:tplc="877E75B0">
      <w:numFmt w:val="bullet"/>
      <w:lvlText w:val="•"/>
      <w:lvlJc w:val="left"/>
      <w:pPr>
        <w:ind w:left="6160" w:hanging="211"/>
      </w:pPr>
      <w:rPr>
        <w:rFonts w:hint="default"/>
        <w:lang w:val="uk-UA" w:eastAsia="en-US" w:bidi="ar-SA"/>
      </w:rPr>
    </w:lvl>
    <w:lvl w:ilvl="7" w:tplc="7AD4A89C">
      <w:numFmt w:val="bullet"/>
      <w:lvlText w:val="•"/>
      <w:lvlJc w:val="left"/>
      <w:pPr>
        <w:ind w:left="7100" w:hanging="211"/>
      </w:pPr>
      <w:rPr>
        <w:rFonts w:hint="default"/>
        <w:lang w:val="uk-UA" w:eastAsia="en-US" w:bidi="ar-SA"/>
      </w:rPr>
    </w:lvl>
    <w:lvl w:ilvl="8" w:tplc="E514B502">
      <w:numFmt w:val="bullet"/>
      <w:lvlText w:val="•"/>
      <w:lvlJc w:val="left"/>
      <w:pPr>
        <w:ind w:left="8040" w:hanging="2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3"/>
    <w:rsid w:val="00090352"/>
    <w:rsid w:val="000C5F23"/>
    <w:rsid w:val="00150169"/>
    <w:rsid w:val="001B19CE"/>
    <w:rsid w:val="001B7B2D"/>
    <w:rsid w:val="001C4923"/>
    <w:rsid w:val="003B1FBF"/>
    <w:rsid w:val="00426027"/>
    <w:rsid w:val="004507D3"/>
    <w:rsid w:val="00585059"/>
    <w:rsid w:val="0059600B"/>
    <w:rsid w:val="006233AA"/>
    <w:rsid w:val="006920E7"/>
    <w:rsid w:val="00700F7B"/>
    <w:rsid w:val="00807D91"/>
    <w:rsid w:val="008C524F"/>
    <w:rsid w:val="008C74A4"/>
    <w:rsid w:val="00902855"/>
    <w:rsid w:val="009313D5"/>
    <w:rsid w:val="00965DD0"/>
    <w:rsid w:val="00A02714"/>
    <w:rsid w:val="00A500F6"/>
    <w:rsid w:val="00AA39AE"/>
    <w:rsid w:val="00C07250"/>
    <w:rsid w:val="00C657A9"/>
    <w:rsid w:val="00C672C8"/>
    <w:rsid w:val="00CB547F"/>
    <w:rsid w:val="00CC3FB0"/>
    <w:rsid w:val="00CC5BBD"/>
    <w:rsid w:val="00CC5F40"/>
    <w:rsid w:val="00D11741"/>
    <w:rsid w:val="00E93DD1"/>
    <w:rsid w:val="00ED3903"/>
    <w:rsid w:val="00EE6D9E"/>
    <w:rsid w:val="00FE095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AD25"/>
  <w15:chartTrackingRefBased/>
  <w15:docId w15:val="{194D0861-0FBF-4571-8721-C54FDA7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7B2D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1B7B2D"/>
  </w:style>
  <w:style w:type="paragraph" w:styleId="a5">
    <w:name w:val="header"/>
    <w:basedOn w:val="a"/>
    <w:link w:val="a6"/>
    <w:uiPriority w:val="99"/>
    <w:semiHidden/>
    <w:unhideWhenUsed/>
    <w:rsid w:val="001B7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1B7B2D"/>
  </w:style>
  <w:style w:type="table" w:customStyle="1" w:styleId="TableNormal">
    <w:name w:val="Table Normal"/>
    <w:uiPriority w:val="2"/>
    <w:semiHidden/>
    <w:unhideWhenUsed/>
    <w:qFormat/>
    <w:rsid w:val="001B7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Федюк</cp:lastModifiedBy>
  <cp:revision>6</cp:revision>
  <dcterms:created xsi:type="dcterms:W3CDTF">2024-03-28T14:02:00Z</dcterms:created>
  <dcterms:modified xsi:type="dcterms:W3CDTF">2024-03-29T14:42:00Z</dcterms:modified>
</cp:coreProperties>
</file>