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6"/>
          <w:szCs w:val="26"/>
          <w:lang w:val="uk-UA"/>
        </w:rPr>
      </w:pPr>
      <w:r>
        <w:rPr>
          <w:rFonts w:ascii="Times New Roman" w:hAnsi="Times New Roman"/>
          <w:b w:val="1"/>
          <w:sz w:val="26"/>
          <w:szCs w:val="26"/>
          <w:lang w:val="uk-UA"/>
        </w:rPr>
        <w:t>ЗВІТ</w:t>
      </w:r>
    </w:p>
    <w:p>
      <w:pPr>
        <w:pStyle w:val="P5"/>
        <w:spacing w:before="0" w:beforeAutospacing="0" w:afterAutospacing="0"/>
        <w:ind w:left="0" w:right="141"/>
        <w:jc w:val="center"/>
        <w:rPr>
          <w:b w:val="1"/>
        </w:rPr>
      </w:pPr>
      <w:r>
        <w:rPr>
          <w:b w:val="1"/>
        </w:rPr>
        <w:t xml:space="preserve">про громадське </w:t>
      </w:r>
      <w:r>
        <w:rPr>
          <w:b w:val="1"/>
          <w:color w:val="000000" w:themeColor="text1"/>
        </w:rPr>
        <w:t xml:space="preserve">обговорення </w:t>
      </w:r>
      <w:r>
        <w:rPr>
          <w:b w:val="1"/>
        </w:rPr>
        <w:t>проєкту Антикорупційної програми Національної комісії зі стандартів державної мови на 2024–2026 роки</w:t>
      </w:r>
    </w:p>
    <w:p>
      <w:pPr>
        <w:pStyle w:val="P1"/>
        <w:tabs>
          <w:tab w:val="left" w:pos="400" w:leader="none"/>
        </w:tabs>
        <w:spacing w:before="0" w:beforeAutospacing="0" w:afterAutospacing="0"/>
        <w:ind w:firstLine="0" w:left="0" w:right="141"/>
      </w:pPr>
    </w:p>
    <w:p>
      <w:pPr>
        <w:pStyle w:val="P1"/>
        <w:tabs>
          <w:tab w:val="left" w:pos="400" w:leader="none"/>
        </w:tabs>
        <w:spacing w:before="0" w:beforeAutospacing="0" w:afterAutospacing="0"/>
        <w:ind w:firstLine="0" w:left="0" w:right="141"/>
      </w:pP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before="0" w:beforeAutospacing="0" w:afterAutospacing="0"/>
        <w:ind w:firstLine="567" w:left="0" w:right="141"/>
      </w:pPr>
      <w:r>
        <w:t>Найменування органу виконавчої</w:t>
      </w:r>
      <w:r>
        <w:rPr>
          <w:spacing w:val="-4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проводив</w:t>
      </w:r>
      <w:r>
        <w:rPr>
          <w:spacing w:val="-3"/>
        </w:rPr>
        <w:t xml:space="preserve"> </w:t>
      </w:r>
      <w:r>
        <w:t>обговорення</w:t>
      </w:r>
    </w:p>
    <w:p>
      <w:pPr>
        <w:pStyle w:val="P5"/>
        <w:spacing w:before="0" w:beforeAutospacing="0" w:afterAutospacing="0"/>
        <w:ind w:firstLine="567" w:left="0" w:right="141"/>
        <w:jc w:val="both"/>
      </w:pPr>
      <w:r>
        <w:t>Національна комісія</w:t>
      </w:r>
      <w:r>
        <w:rPr>
          <w:spacing w:val="-1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стандартів</w:t>
      </w:r>
      <w:r>
        <w:rPr>
          <w:spacing w:val="-4"/>
        </w:rPr>
        <w:t xml:space="preserve"> </w:t>
      </w:r>
      <w:r>
        <w:t>державної</w:t>
      </w:r>
      <w:r>
        <w:rPr>
          <w:spacing w:val="-7"/>
        </w:rPr>
        <w:t xml:space="preserve"> </w:t>
      </w:r>
      <w:r>
        <w:t>мови</w:t>
      </w:r>
      <w:r>
        <w:rPr>
          <w:spacing w:val="4"/>
        </w:rPr>
        <w:t xml:space="preserve"> </w:t>
      </w:r>
      <w:r>
        <w:t>(далі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Комісія)</w:t>
      </w:r>
    </w:p>
    <w:p>
      <w:pPr>
        <w:pStyle w:val="P5"/>
        <w:spacing w:before="0" w:beforeAutospacing="0" w:afterAutospacing="0"/>
        <w:ind w:left="0" w:right="141"/>
        <w:jc w:val="both"/>
      </w:pPr>
    </w:p>
    <w:p>
      <w:pPr>
        <w:pStyle w:val="P4"/>
        <w:numPr>
          <w:ilvl w:val="0"/>
          <w:numId w:val="3"/>
        </w:numPr>
        <w:spacing w:lineRule="auto" w:line="240" w:after="0" w:beforeAutospacing="0" w:afterAutospacing="0"/>
        <w:ind w:firstLine="567" w:left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Зміст питання або назва проєкту акта, що виносилися на обговорення</w:t>
      </w:r>
    </w:p>
    <w:p>
      <w:pPr>
        <w:pStyle w:val="P5"/>
        <w:spacing w:before="0" w:beforeAutospacing="0" w:afterAutospacing="0"/>
        <w:ind w:firstLine="567" w:left="0" w:right="141"/>
        <w:jc w:val="both"/>
        <w:rPr>
          <w:bCs w:val="1"/>
        </w:rPr>
      </w:pPr>
      <w:r>
        <w:t>На обговорення виносився проєкт</w:t>
      </w:r>
      <w:r>
        <w:rPr>
          <w:bCs w:val="1"/>
          <w:lang w:eastAsia="ru-RU"/>
        </w:rPr>
        <w:t xml:space="preserve"> </w:t>
      </w:r>
      <w:r>
        <w:t xml:space="preserve">Антикорупційної програми Національної комісії зі стандартів державної мови на 2024–2026 роки </w:t>
      </w:r>
      <w:r>
        <w:rPr>
          <w:bCs w:val="1"/>
          <w:lang w:eastAsia="ru-RU"/>
        </w:rPr>
        <w:t xml:space="preserve"> (далі – проєкт </w:t>
      </w:r>
      <w:r>
        <w:t>Антикорупційної програми</w:t>
      </w:r>
      <w:r>
        <w:rPr>
          <w:bCs w:val="1"/>
          <w:lang w:eastAsia="ru-RU"/>
        </w:rPr>
        <w:t>)</w:t>
      </w:r>
    </w:p>
    <w:p>
      <w:pPr>
        <w:pStyle w:val="P5"/>
        <w:spacing w:before="0" w:beforeAutospacing="0" w:afterAutospacing="0"/>
        <w:ind w:firstLine="567" w:left="0" w:right="141"/>
        <w:jc w:val="both"/>
        <w:rPr>
          <w:bCs w:val="1"/>
          <w:lang w:eastAsia="ru-RU"/>
        </w:rPr>
      </w:pPr>
    </w:p>
    <w:p>
      <w:pPr>
        <w:pStyle w:val="P4"/>
        <w:numPr>
          <w:ilvl w:val="0"/>
          <w:numId w:val="3"/>
        </w:numPr>
        <w:spacing w:lineRule="auto" w:line="240" w:after="0" w:beforeAutospacing="0" w:afterAutospacing="0"/>
        <w:ind w:firstLine="167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Інформація про осіб, що взяли участь в обговоренні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Антикорупційної програми  опубліковано 24 квітня  2024 року на офіційному вебсайті Комісії </w:t>
      </w:r>
      <w:hyperlink xmlns:r="http://schemas.openxmlformats.org/officeDocument/2006/relationships" r:id="R2">
        <w:r>
          <w:rPr>
            <w:rFonts w:ascii="Times New Roman" w:hAnsi="Times New Roman"/>
            <w:sz w:val="28"/>
            <w:szCs w:val="28"/>
            <w:lang w:val="uk-UA"/>
          </w:rPr>
          <w:t>https://mova.gov.ua/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у рубриці «Регуляторна діяльність та консультації з громадськістю».</w:t>
      </w:r>
    </w:p>
    <w:p>
      <w:pPr>
        <w:pStyle w:val="P5"/>
        <w:spacing w:before="0" w:beforeAutospacing="0" w:afterAutospacing="0"/>
        <w:ind w:firstLine="567" w:left="0" w:right="141"/>
        <w:jc w:val="both"/>
      </w:pPr>
      <w:r>
        <w:t xml:space="preserve">Зауваження та пропозиції від громадськості приймалися до 06 травня  </w:t>
        <w:br w:type="textWrapping"/>
        <w:t xml:space="preserve">2024 року за адресою: Національна комісія зі стандартів державної мови, пров. Несторівський, 4, м. Київ, 04053 та на електронну адресу:  </w:t>
      </w:r>
      <w:hyperlink xmlns:r="http://schemas.openxmlformats.org/officeDocument/2006/relationships" r:id="R3">
        <w:r>
          <w:t>info@mova.gov.ua</w:t>
        </w:r>
      </w:hyperlink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Зауваження до Антикорупційної програми  надійшли від Ткаченка О.І.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4. Інформація про пропозиції, що надійшли до Комісії під час громадського обговорення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громадського обговорення надійшли зауваження стосовно порушення Комісією вимог наказу Національного агентства з питань запобігання корупції від 28.12.2021 № 830/21 «Про вдосконалення процесу управління корупційними ризиками», зареєстрованої у Міністерстві юстиції України 17.02.2022 за № 219/37555 (далі – Методологія).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 xml:space="preserve">5. Інформація про рішення, </w:t>
      </w:r>
      <w:r>
        <w:rPr>
          <w:rFonts w:ascii="Times New Roman" w:hAnsi="Times New Roman"/>
          <w:b w:val="1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ухвалені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за результатами обговорення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" w:eastAsia="uk"/>
        </w:rPr>
      </w:pPr>
      <w:r>
        <w:rPr>
          <w:rFonts w:ascii="Times New Roman" w:hAnsi="Times New Roman"/>
          <w:sz w:val="28"/>
          <w:szCs w:val="28"/>
          <w:lang w:val="uk-UA" w:eastAsia="uk"/>
        </w:rPr>
        <w:t xml:space="preserve">За результатами вивчення та аналізу </w:t>
      </w:r>
      <w:r>
        <w:rPr>
          <w:rFonts w:ascii="Times New Roman" w:hAnsi="Times New Roman"/>
          <w:sz w:val="28"/>
          <w:szCs w:val="28"/>
          <w:lang w:val="uk" w:eastAsia="uk"/>
        </w:rPr>
        <w:t xml:space="preserve">зауважень щодо Антикорупційної програми </w:t>
      </w:r>
      <w:r>
        <w:rPr>
          <w:rFonts w:ascii="Times New Roman" w:hAnsi="Times New Roman"/>
          <w:sz w:val="28"/>
          <w:szCs w:val="28"/>
          <w:lang w:val="uk-UA" w:eastAsia="uk"/>
        </w:rPr>
        <w:t>ухвалено</w:t>
      </w:r>
      <w:r>
        <w:rPr>
          <w:rFonts w:ascii="Times New Roman" w:hAnsi="Times New Roman"/>
          <w:sz w:val="28"/>
          <w:szCs w:val="28"/>
          <w:lang w:val="uk" w:eastAsia="uk"/>
        </w:rPr>
        <w:t xml:space="preserve"> рішення:</w:t>
      </w:r>
    </w:p>
    <w:p>
      <w:pPr>
        <w:pStyle w:val="P4"/>
        <w:numPr>
          <w:ilvl w:val="0"/>
          <w:numId w:val="6"/>
        </w:numPr>
        <w:spacing w:lineRule="auto" w:line="240" w:after="0" w:beforeAutospacing="0" w:afterAutospacing="0"/>
        <w:ind w:firstLine="709" w:left="0"/>
        <w:jc w:val="both"/>
        <w:rPr>
          <w:rStyle w:val="C7"/>
          <w:sz w:val="28"/>
          <w:szCs w:val="28"/>
          <w:lang w:val="uk" w:eastAsia="uk"/>
        </w:rPr>
      </w:pPr>
      <w:r>
        <w:rPr>
          <w:rStyle w:val="C7"/>
          <w:sz w:val="28"/>
          <w:szCs w:val="28"/>
          <w:lang w:val="uk" w:eastAsia="uk"/>
        </w:rPr>
        <w:t>Про повне врахування в роботі зауважень стосовно встановлених Методологією вимог до видання наказів:</w:t>
      </w:r>
    </w:p>
    <w:p>
      <w:pPr>
        <w:spacing w:lineRule="auto" w:line="240" w:after="0" w:beforeAutospacing="0" w:afterAutospacing="0"/>
        <w:ind w:firstLine="709"/>
        <w:jc w:val="both"/>
        <w:rPr>
          <w:rStyle w:val="C7"/>
          <w:sz w:val="28"/>
          <w:szCs w:val="28"/>
          <w:lang w:val="uk" w:eastAsia="uk"/>
        </w:rPr>
      </w:pPr>
      <w:r>
        <w:rPr>
          <w:rStyle w:val="C7"/>
          <w:sz w:val="28"/>
          <w:szCs w:val="28"/>
          <w:lang w:val="uk" w:eastAsia="uk"/>
        </w:rPr>
        <w:t>про проведення оцінювання корупційних ризиків та</w:t>
      </w:r>
      <w:r>
        <w:rPr>
          <w:sz w:val="28"/>
          <w:szCs w:val="28"/>
          <w:lang w:val="uk" w:eastAsia="uk"/>
        </w:rPr>
        <w:t xml:space="preserve"> </w:t>
      </w:r>
      <w:r>
        <w:rPr>
          <w:rStyle w:val="C7"/>
          <w:sz w:val="28"/>
          <w:szCs w:val="28"/>
          <w:lang w:val="uk" w:eastAsia="uk"/>
        </w:rPr>
        <w:t xml:space="preserve">доведення  його до відома працівників Комісії,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lang w:val="uk" w:eastAsia="uk-UA"/>
        </w:rPr>
      </w:pPr>
      <w:r>
        <w:rPr>
          <w:rStyle w:val="C7"/>
          <w:sz w:val="28"/>
          <w:szCs w:val="28"/>
          <w:lang w:val="uk" w:eastAsia="uk"/>
        </w:rPr>
        <w:t xml:space="preserve">про утворення робочої групи з оцінювання корупційних ризиків та </w:t>
      </w:r>
      <w:r>
        <w:rPr>
          <w:rFonts w:ascii="Times New Roman" w:hAnsi="Times New Roman"/>
          <w:sz w:val="28"/>
          <w:szCs w:val="28"/>
          <w:lang w:val="uk" w:eastAsia="uk-UA"/>
        </w:rPr>
        <w:t xml:space="preserve">включення до складу робочої групи  представників громадськості;</w:t>
      </w:r>
    </w:p>
    <w:p>
      <w:pPr>
        <w:pStyle w:val="P4"/>
        <w:numPr>
          <w:ilvl w:val="0"/>
          <w:numId w:val="6"/>
        </w:numPr>
        <w:spacing w:lineRule="auto" w:line="240" w:after="0" w:beforeAutospacing="0" w:afterAutospacing="0"/>
        <w:ind w:firstLine="567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" w:eastAsia="uk-UA"/>
        </w:rPr>
        <w:t xml:space="preserve">Про відхилення зауважень стосовно оцінювання корупційних ризиків у комісії та складання Антикорупційної програми, так як відповідно до </w:t>
      </w:r>
      <w:r>
        <w:rPr>
          <w:rFonts w:ascii="TimesNewRomanPSMT" w:hAnsi="TimesNewRomanPSMT"/>
          <w:sz w:val="28"/>
          <w:szCs w:val="28"/>
          <w:lang w:val="uk"/>
        </w:rPr>
        <w:t>наказу Комісії від 14.02.2024 № 9-ос «Про проведення оцінки корупційних ризиків у діяльності Національній комісії зі стандартів державної мови» к</w:t>
      </w:r>
      <w:r>
        <w:rPr>
          <w:rFonts w:ascii="Times New Roman" w:hAnsi="Times New Roman"/>
          <w:sz w:val="28"/>
          <w:szCs w:val="28"/>
          <w:lang w:val="uk-UA"/>
        </w:rPr>
        <w:t xml:space="preserve">омісія  провела ідентифікацію (виявлення) корупційних ризиків, аналіз та визначення рівнів корупційних ризиків, здійснила аналіз описаних потенційно вразливих до корупції функцій, процесів у діяльності Комісії та ідентифікацію корупційних ризиків, які існують або можуть виникнути під час їх реалізації, провела аналіз нормативно-правових актів та організаційно-розпорядчих документів, що регулюють діяльність Комісії, провела визначення внутрішніх і зовнішніх заінтересованих сторін, які можуть брати участь у їх вчиненні. За результатами ідентифікації: оцінено ймовірність реалізації кожного корупційного ризику, наслідки такої реалізації, рівень ймовірності реалізації кожного корупційного ризику; підготовлено пропозиції до заходів впливу на кожний корупційний ризик; для кожного заходу впливу на корупційний ризик визначено: відповідальних за його виконання, терміни виконання, необхідні ресурси та індикатори виконання На підставі зазначеної інформації складено Реєстр корупційних ризиків у діяльності Комісії, який є додатком до Антикорупційної програми.                                                                          </w:t>
      </w:r>
      <w:r>
        <w:rPr>
          <w:rFonts w:ascii="Times New Roman" w:hAnsi="Times New Roman"/>
          <w:bCs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Розроблений відповідно до вимог Методології  проєкт</w:t>
      </w:r>
      <w:r>
        <w:rPr>
          <w:rFonts w:ascii="Times New Roman" w:hAnsi="Times New Roman"/>
          <w:bCs w:val="1"/>
          <w:sz w:val="28"/>
          <w:szCs w:val="28"/>
          <w:lang w:val="uk-UA"/>
        </w:rPr>
        <w:t xml:space="preserve"> Антикорупційної програми Комісії на 2024 – 2026 роки, був представлений в. о. головного спеціаліста з питань запобігання та виявлення корупції на засіданні комісії з оцінки корупційних ризиків 23.04.2024 та  схвалений членами комісії з оцінки корупційних ризиків,  також було ухвалено рішення про його громадське обговорення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P5"/>
        <w:spacing w:before="0" w:beforeAutospacing="0" w:afterAutospacing="0"/>
        <w:ind w:firstLine="567" w:left="0" w:right="141"/>
        <w:jc w:val="both"/>
        <w:rPr>
          <w:bCs w:val="1"/>
        </w:rPr>
      </w:pPr>
      <w:r>
        <w:t>Повідомлення про проведення громадського обговорення</w:t>
      </w:r>
      <w:bookmarkStart w:id="0" w:name="_Hlk124427550"/>
      <w:r>
        <w:t xml:space="preserve"> проєкту </w:t>
      </w:r>
      <w:bookmarkEnd w:id="0"/>
      <w:r>
        <w:t xml:space="preserve">Антикорупційної програми розміщено на офіційному вебсайті Комісії за посиланням: </w:t>
      </w:r>
      <w:r>
        <w:rPr>
          <w:lang w:eastAsia="uk-UA"/>
        </w:rPr>
        <w:t>https://mova.gov.ua/gromadskosti/rehuliatorna-diialnist-ta-konsultatsii-z-hromadskistiu/obgovorennya-proyektiv-dokumentiv/hromadski-obh</w:t>
      </w:r>
      <w:r>
        <w:rPr>
          <w:bCs w:val="1"/>
        </w:rPr>
        <w:t xml:space="preserve"> 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термінів прийняття Антикорупційної програми, то у зв’язку з ухваленням рішення Комісії від 16 квітня 2024 року № 109 (зі змінами), яким затверджено Структуру Національної комісії зі стандартів державної мови, погоджену Міністром освіти і науки України (нова редакція), а також рішення Комісії від 29 квітня 2024 року № 127, яким затверджений Штатний розпис на 2024 рік Національної комісії зі стандартів державної мови, погоджений Міністерством фінансів України і введений в дію 03.05.2024, виникла потреба переглянути низку положень проєкту Антикорупційної  програми </w:t>
      </w:r>
      <w:r>
        <w:rPr>
          <w:rFonts w:ascii="Times New Roman" w:hAnsi="Times New Roman"/>
          <w:sz w:val="28"/>
          <w:szCs w:val="28"/>
          <w:lang w:val="uk-UA" w:eastAsia="uk-UA"/>
        </w:rPr>
        <w:t>новими самостійними структурними підрозділами апарату Комісії та його доопрацювання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абзацу шостого частини першої статті 19 Закону України «Про запобігання корупції», абзацу другого пункту 1 Методології Комісія поінформувала Національне агентство з питань запобігання корупції про потребу в підготовці нової редакції Антикорупційної програми в установленому законодавством порядку на заміну попередньо підготовленого проєкту Антикорупційної програми (лист від 02.05.2024</w:t>
      </w:r>
      <w:r>
        <w:rPr>
          <w:rFonts w:ascii="Calibri" w:hAnsi="Calibri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Calibri" w:hAnsi="Calibri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9/766/24).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Робоча група з оцінювання корупційних ризиків, склад якої та положення про яку затверджені наказом Комісії від 14.05.2026 № 26-ос, переглянула проєкт Антикорупційної програми у зв’язку зі зміною структури Комісії та зауваженнями до Антикорупційної програми, що надійшли під час її громадського обговорення, та підготувала необхідні зміни. 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Методології наказ Комісії 26-ос оприлюднено на вебсайті Національної комісії зі стандартів державної мови (</w:t>
      </w:r>
      <w:hyperlink xmlns:r="http://schemas.openxmlformats.org/officeDocument/2006/relationships" r:id="R4">
        <w:r>
          <w:rPr>
            <w:rFonts w:ascii="Times New Roman" w:hAnsi="Times New Roman"/>
            <w:sz w:val="28"/>
            <w:szCs w:val="28"/>
            <w:lang w:val="uk-UA"/>
          </w:rPr>
          <w:t>https://mova.gov.ua/diyalnist-i-proyekti/protidiya-ta-zapobigannya-korupciyi/antikorupcijna-programa</w:t>
        </w:r>
      </w:hyperlink>
      <w:r>
        <w:rPr>
          <w:rFonts w:ascii="Times New Roman" w:hAnsi="Times New Roman"/>
          <w:sz w:val="28"/>
          <w:szCs w:val="28"/>
          <w:lang w:val="uk-UA"/>
        </w:rPr>
        <w:t>) та поінформовано Національне агентство з питань запобігання корупції листом від 15.05.2024 № 9/820/24.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Стосовно подання матеріалів до Національного агентства з питань запобігання корупції, то відповідно до листа Національного агентства з питань запобігання корупції від 24.11.2022 № 22-03/24055-22 на період дії воєнного стану антикорупційні програми суб’єктів ст. 19 Закону України «Про запобігання корупції»  і зміни до них набувають чинності з моменту прийняття розпорядчих документів про їх затвердження.  При цьому до Національного  агентство з питань запобігання корупції надається інформація про прийняття антикорупційних програм і змін до них шляхом направлення антикорупційних програм, змін до них, а також розпорядчих документів про їх затвердження.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Враховуючи викладене вище,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ухвалено</w:t>
      </w:r>
      <w:r>
        <w:rPr>
          <w:rFonts w:ascii="Times New Roman" w:hAnsi="Times New Roman"/>
          <w:sz w:val="28"/>
          <w:szCs w:val="28"/>
        </w:rPr>
        <w:t xml:space="preserve"> рішення забезпечити затвердження Антикорупційної програми на 2024-2026 роки.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footnotePr/>
      <w:endnotePr/>
      <w:type w:val="nextPage"/>
      <w:pgSz w:w="11906" w:h="16838" w:code="0"/>
      <w:pgMar w:left="1701" w:right="850" w:top="1134" w:bottom="1134" w:header="708" w:footer="708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8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8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8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7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7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7"/>
    </w:pPr>
  </w:p>
</w:hdr>
</file>

<file path=word/numbering.xml><?xml version="1.0" encoding="utf-8"?>
<w:numbering xmlns:w="http://schemas.openxmlformats.org/wordprocessingml/2006/main">
  <w:abstractNum w:abstractNumId="0">
    <w:nsid w:val="0A7857E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5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7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9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1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3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5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7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9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17"/>
      </w:pPr>
      <w:rPr/>
    </w:lvl>
  </w:abstractNum>
  <w:abstractNum w:abstractNumId="1">
    <w:nsid w:val="153416A4"/>
    <w:multiLevelType w:val="hybridMultilevel"/>
    <w:lvl w:ilvl="0" w:tplc="4E1E2CEE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2">
    <w:nsid w:val="2BA33EB6"/>
    <w:multiLevelType w:val="hybridMultilevel"/>
    <w:lvl w:ilvl="0" w:tplc="C7F82842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3">
    <w:nsid w:val="31B41233"/>
    <w:multiLevelType w:val="hybridMultilevel"/>
    <w:lvl w:ilvl="0" w:tplc="C7F82842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4">
    <w:nsid w:val="47DF0C26"/>
    <w:multiLevelType w:val="hybridMultilevel"/>
    <w:lvl w:ilvl="0" w:tplc="C7F82842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5">
    <w:nsid w:val="54047087"/>
    <w:multiLevelType w:val="hybridMultilevel"/>
    <w:lvl w:ilvl="0" w:tplc="4E1E2CEE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6">
    <w:nsid w:val="61136E8A"/>
    <w:multiLevelType w:val="hybridMultilevel"/>
    <w:lvl w:ilvl="0" w:tplc="F6781394">
      <w:start w:val="1"/>
      <w:numFmt w:val="decimal"/>
      <w:suff w:val="tab"/>
      <w:lvlText w:val="%1."/>
      <w:lvlJc w:val="left"/>
      <w:pPr>
        <w:ind w:hanging="283" w:left="400"/>
      </w:pPr>
      <w:rPr>
        <w:rFonts w:ascii="Times New Roman" w:hAnsi="Times New Roman"/>
        <w:b w:val="1"/>
        <w:bCs w:val="1"/>
        <w:sz w:val="28"/>
        <w:szCs w:val="28"/>
        <w:w w:val="99"/>
        <w:lang w:val="uk-UA" w:bidi="ar-SA" w:eastAsia="en-US"/>
      </w:rPr>
    </w:lvl>
    <w:lvl w:ilvl="1" w:tplc="9286A920">
      <w:start w:val="1"/>
      <w:numFmt w:val="bullet"/>
      <w:suff w:val="tab"/>
      <w:lvlText w:val="•"/>
      <w:lvlJc w:val="left"/>
      <w:pPr>
        <w:ind w:hanging="283" w:left="1463"/>
      </w:pPr>
      <w:rPr>
        <w:lang w:val="uk-UA" w:bidi="ar-SA" w:eastAsia="en-US"/>
      </w:rPr>
    </w:lvl>
    <w:lvl w:ilvl="2" w:tplc="D114956E">
      <w:start w:val="1"/>
      <w:numFmt w:val="bullet"/>
      <w:suff w:val="tab"/>
      <w:lvlText w:val="•"/>
      <w:lvlJc w:val="left"/>
      <w:pPr>
        <w:ind w:hanging="283" w:left="2409"/>
      </w:pPr>
      <w:rPr>
        <w:lang w:val="uk-UA" w:bidi="ar-SA" w:eastAsia="en-US"/>
      </w:rPr>
    </w:lvl>
    <w:lvl w:ilvl="3" w:tplc="36CEEF28">
      <w:start w:val="1"/>
      <w:numFmt w:val="bullet"/>
      <w:suff w:val="tab"/>
      <w:lvlText w:val="•"/>
      <w:lvlJc w:val="left"/>
      <w:pPr>
        <w:ind w:hanging="283" w:left="3356"/>
      </w:pPr>
      <w:rPr>
        <w:lang w:val="uk-UA" w:bidi="ar-SA" w:eastAsia="en-US"/>
      </w:rPr>
    </w:lvl>
    <w:lvl w:ilvl="4" w:tplc="78DCFD2A">
      <w:start w:val="1"/>
      <w:numFmt w:val="bullet"/>
      <w:suff w:val="tab"/>
      <w:lvlText w:val="•"/>
      <w:lvlJc w:val="left"/>
      <w:pPr>
        <w:ind w:hanging="283" w:left="4302"/>
      </w:pPr>
      <w:rPr>
        <w:lang w:val="uk-UA" w:bidi="ar-SA" w:eastAsia="en-US"/>
      </w:rPr>
    </w:lvl>
    <w:lvl w:ilvl="5" w:tplc="CBFAE60A">
      <w:start w:val="1"/>
      <w:numFmt w:val="bullet"/>
      <w:suff w:val="tab"/>
      <w:lvlText w:val="•"/>
      <w:lvlJc w:val="left"/>
      <w:pPr>
        <w:ind w:hanging="283" w:left="5249"/>
      </w:pPr>
      <w:rPr>
        <w:lang w:val="uk-UA" w:bidi="ar-SA" w:eastAsia="en-US"/>
      </w:rPr>
    </w:lvl>
    <w:lvl w:ilvl="6" w:tplc="B1603B68">
      <w:start w:val="1"/>
      <w:numFmt w:val="bullet"/>
      <w:suff w:val="tab"/>
      <w:lvlText w:val="•"/>
      <w:lvlJc w:val="left"/>
      <w:pPr>
        <w:ind w:hanging="283" w:left="6195"/>
      </w:pPr>
      <w:rPr>
        <w:lang w:val="uk-UA" w:bidi="ar-SA" w:eastAsia="en-US"/>
      </w:rPr>
    </w:lvl>
    <w:lvl w:ilvl="7" w:tplc="7074A060">
      <w:start w:val="1"/>
      <w:numFmt w:val="bullet"/>
      <w:suff w:val="tab"/>
      <w:lvlText w:val="•"/>
      <w:lvlJc w:val="left"/>
      <w:pPr>
        <w:ind w:hanging="283" w:left="7141"/>
      </w:pPr>
      <w:rPr>
        <w:lang w:val="uk-UA" w:bidi="ar-SA" w:eastAsia="en-US"/>
      </w:rPr>
    </w:lvl>
    <w:lvl w:ilvl="8" w:tplc="34203D22">
      <w:start w:val="1"/>
      <w:numFmt w:val="bullet"/>
      <w:suff w:val="tab"/>
      <w:lvlText w:val="•"/>
      <w:lvlJc w:val="left"/>
      <w:pPr>
        <w:ind w:hanging="283" w:left="8088"/>
      </w:pPr>
      <w:rPr>
        <w:lang w:val="uk-UA" w:bidi="ar-SA" w:eastAsia="en-US"/>
      </w:rPr>
    </w:lvl>
  </w:abstractNum>
  <w:abstractNum w:abstractNumId="7">
    <w:nsid w:val="62A762E7"/>
    <w:multiLevelType w:val="hybridMultilevel"/>
    <w:lvl w:ilvl="0" w:tplc="4FB0A1F6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5"/>
    <w:qFormat/>
    <w:pPr>
      <w:widowControl w:val="0"/>
      <w:spacing w:lineRule="auto" w:line="240" w:before="244" w:after="0" w:beforeAutospacing="0" w:afterAutospacing="0"/>
      <w:ind w:hanging="284" w:left="399"/>
      <w:outlineLvl w:val="0"/>
    </w:pPr>
    <w:rPr>
      <w:rFonts w:ascii="Times New Roman" w:hAnsi="Times New Roman"/>
      <w:b w:val="1"/>
      <w:bCs w:val="1"/>
      <w:sz w:val="28"/>
      <w:szCs w:val="28"/>
      <w:lang w:val="uk-UA"/>
    </w:rPr>
  </w:style>
  <w:style w:type="paragraph" w:styleId="P2">
    <w:name w:val="heading 4"/>
    <w:basedOn w:val="P0"/>
    <w:next w:val="P0"/>
    <w:link w:val="C8"/>
    <w:semiHidden/>
    <w:qFormat/>
    <w:pPr>
      <w:keepNext w:val="1"/>
      <w:keepLines w:val="1"/>
      <w:spacing w:before="200" w:after="0" w:beforeAutospacing="0" w:afterAutospacing="0"/>
      <w:outlineLvl w:val="3"/>
    </w:pPr>
    <w:rPr>
      <w:b w:val="1"/>
      <w:i w:val="1"/>
      <w:bCs w:val="1"/>
      <w:iCs w:val="1"/>
      <w:color w:val="5B9BD5" w:themeColor="accent1"/>
    </w:rPr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paragraph" w:styleId="P4">
    <w:name w:val="List Paragraph"/>
    <w:basedOn w:val="P0"/>
    <w:qFormat/>
    <w:pPr>
      <w:ind w:left="720"/>
      <w:contextualSpacing w:val="1"/>
    </w:pPr>
    <w:rPr/>
  </w:style>
  <w:style w:type="paragraph" w:styleId="P5">
    <w:name w:val="Body Text"/>
    <w:basedOn w:val="P0"/>
    <w:link w:val="C6"/>
    <w:qFormat/>
    <w:pPr>
      <w:widowControl w:val="0"/>
      <w:spacing w:lineRule="auto" w:line="240" w:before="235" w:after="0" w:beforeAutospacing="0" w:afterAutospacing="0"/>
      <w:ind w:left="116"/>
    </w:pPr>
    <w:rPr>
      <w:rFonts w:ascii="Times New Roman" w:hAnsi="Times New Roman"/>
      <w:sz w:val="28"/>
      <w:szCs w:val="28"/>
      <w:lang w:val="uk-UA"/>
    </w:rPr>
  </w:style>
  <w:style w:type="paragraph" w:styleId="P6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  <w:szCs w:val="24"/>
    </w:rPr>
  </w:style>
  <w:style w:type="paragraph" w:styleId="P7">
    <w:name w:val="header"/>
    <w:basedOn w:val="P0"/>
    <w:link w:val="C9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8">
    <w:name w:val="footer"/>
    <w:basedOn w:val="P0"/>
    <w:link w:val="C10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9">
    <w:name w:val="footnote text"/>
    <w:link w:val="C12"/>
    <w:semiHidden/>
    <w:pPr>
      <w:spacing w:lineRule="auto" w:line="240" w:after="0"/>
    </w:pPr>
    <w:rPr>
      <w:sz w:val="20"/>
      <w:szCs w:val="20"/>
    </w:rPr>
  </w:style>
  <w:style w:type="paragraph" w:styleId="P10">
    <w:name w:val="endnote text"/>
    <w:link w:val="C14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character" w:styleId="C3">
    <w:name w:val="Текст выноски Знак"/>
    <w:basedOn w:val="C0"/>
    <w:link w:val="P3"/>
    <w:semiHidden/>
    <w:rPr>
      <w:rFonts w:ascii="Segoe UI" w:hAnsi="Segoe UI"/>
      <w:sz w:val="18"/>
      <w:szCs w:val="18"/>
    </w:rPr>
  </w:style>
  <w:style w:type="character" w:styleId="C4">
    <w:name w:val="Неразрешенное упоминание1"/>
    <w:basedOn w:val="C0"/>
    <w:semiHidden/>
    <w:rPr>
      <w:color w:val="605E5C"/>
      <w:shd w:val="clear" w:color="auto" w:fill="E1DFDD"/>
    </w:rPr>
  </w:style>
  <w:style w:type="character" w:styleId="C5">
    <w:name w:val="Заголовок 1 Знак"/>
    <w:basedOn w:val="C0"/>
    <w:link w:val="P1"/>
    <w:rPr>
      <w:rFonts w:ascii="Times New Roman" w:hAnsi="Times New Roman"/>
      <w:b w:val="1"/>
      <w:bCs w:val="1"/>
      <w:sz w:val="28"/>
      <w:szCs w:val="28"/>
      <w:lang w:val="uk-UA"/>
    </w:rPr>
  </w:style>
  <w:style w:type="character" w:styleId="C6">
    <w:name w:val="Основной текст Знак"/>
    <w:basedOn w:val="C0"/>
    <w:link w:val="P5"/>
    <w:rPr>
      <w:rFonts w:ascii="Times New Roman" w:hAnsi="Times New Roman"/>
      <w:sz w:val="28"/>
      <w:szCs w:val="28"/>
      <w:lang w:val="uk-UA"/>
    </w:rPr>
  </w:style>
  <w:style w:type="character" w:styleId="C7">
    <w:name w:val="span_rvts0"/>
    <w:basedOn w:val="C0"/>
    <w:rPr>
      <w:rFonts w:ascii="Times New Roman" w:hAnsi="Times New Roman"/>
      <w:b w:val="0"/>
      <w:i w:val="0"/>
      <w:bCs w:val="0"/>
      <w:iCs w:val="0"/>
      <w:sz w:val="24"/>
      <w:szCs w:val="24"/>
    </w:rPr>
  </w:style>
  <w:style w:type="character" w:styleId="C8">
    <w:name w:val="Заголовок 4 Знак"/>
    <w:basedOn w:val="C0"/>
    <w:link w:val="P2"/>
    <w:semiHidden/>
    <w:rPr>
      <w:b w:val="1"/>
      <w:i w:val="1"/>
      <w:bCs w:val="1"/>
      <w:iCs w:val="1"/>
      <w:color w:val="5B9BD5" w:themeColor="accent1"/>
    </w:rPr>
  </w:style>
  <w:style w:type="character" w:styleId="C9">
    <w:name w:val="Верхний колонтитул Знак"/>
    <w:basedOn w:val="C0"/>
    <w:link w:val="P7"/>
    <w:rPr/>
  </w:style>
  <w:style w:type="character" w:styleId="C10">
    <w:name w:val="Нижний колонтитул Знак"/>
    <w:basedOn w:val="C0"/>
    <w:link w:val="P8"/>
    <w:rPr/>
  </w:style>
  <w:style w:type="character" w:styleId="C11">
    <w:name w:val="footnote reference"/>
    <w:semiHidden/>
    <w:rPr>
      <w:vertAlign w:val="superscript"/>
    </w:rPr>
  </w:style>
  <w:style w:type="character" w:styleId="C12">
    <w:name w:val="Footnote Text Char"/>
    <w:link w:val="P9"/>
    <w:semiHidden/>
    <w:rPr>
      <w:sz w:val="20"/>
      <w:szCs w:val="20"/>
    </w:rPr>
  </w:style>
  <w:style w:type="character" w:styleId="C13">
    <w:name w:val="endnote reference"/>
    <w:semiHidden/>
    <w:rPr>
      <w:vertAlign w:val="superscript"/>
    </w:rPr>
  </w:style>
  <w:style w:type="character" w:styleId="C14">
    <w:name w:val="Endnote Text Char"/>
    <w:link w:val="P10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mova.gov.ua/" TargetMode="External" /><Relationship Id="R3" Type="http://schemas.openxmlformats.org/officeDocument/2006/relationships/hyperlink" Target="mailto:info@mova.gov.ua%20" TargetMode="External" /><Relationship Id="R4" Type="http://schemas.openxmlformats.org/officeDocument/2006/relationships/hyperlink" Target="https://mova.gov.ua/diyalnist-i-proyekti/protidiya-ta-zapobigannya-korupciyi/antikorupcijna-programa" TargetMode="External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er3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_rels/header3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SPecialiST RePack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Лілія Сергіївна Паненко</dc:creator>
  <dcterms:created xsi:type="dcterms:W3CDTF">2024-05-23T08:00:00Z</dcterms:created>
  <cp:lastPrinted>2024-05-30T13:34:00Z</cp:lastPrinted>
  <dcterms:modified xsi:type="dcterms:W3CDTF">2024-05-31T08:30:13Z</dcterms:modified>
  <cp:revision>277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2024-05-30T12:41:18Z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4f8c0485-8d6a-4bbe-998b-d2431b4e6dc4</vt:lpwstr>
  </property>
  <property fmtid="{D5CDD505-2E9C-101B-9397-08002B2CF9AE}" pid="8" name="MSIP_Label_d339a68c-dbbc-4e72-beb1-06a036fcf359_ContentBits">
    <vt:lpwstr>0</vt:lpwstr>
  </property>
</Properties>
</file>