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ind w:firstLine="0"/>
        <w:jc w:val="center"/>
        <w:rPr>
          <w:b w:val="1"/>
          <w:bCs w:val="1"/>
          <w:lang w:val="uk-UA"/>
        </w:rPr>
      </w:pPr>
      <w:r>
        <w:rPr>
          <w:b w:val="1"/>
          <w:bCs w:val="1"/>
          <w:lang w:val="uk-UA"/>
        </w:rPr>
        <w:t>Аналіз регуляторного впливу до проєкту рішення Національної комісії зі стандартів державної мови «Про внесення змін до рішення Національної комісії зі стандартів державної мови від 27 травня 2021 року № 23»</w:t>
      </w:r>
    </w:p>
    <w:p>
      <w:pPr>
        <w:ind w:firstLine="0"/>
        <w:jc w:val="center"/>
        <w:rPr>
          <w:lang w:val="uk-UA"/>
        </w:rPr>
      </w:pPr>
    </w:p>
    <w:p>
      <w:pPr>
        <w:ind w:firstLine="709"/>
        <w:rPr>
          <w:b w:val="1"/>
          <w:bCs w:val="1"/>
          <w:lang w:val="uk-UA"/>
        </w:rPr>
      </w:pPr>
      <w:r>
        <w:rPr>
          <w:b w:val="1"/>
          <w:bCs w:val="1"/>
          <w:lang w:val="uk-UA"/>
        </w:rPr>
        <w:t>1. Визначення проблеми</w:t>
      </w:r>
    </w:p>
    <w:p>
      <w:pPr>
        <w:ind w:firstLine="709"/>
        <w:rPr>
          <w:lang w:val="uk-UA"/>
        </w:rPr>
      </w:pPr>
    </w:p>
    <w:p>
      <w:pPr>
        <w:ind w:firstLine="709"/>
        <w:rPr>
          <w:lang w:val="uk-UA"/>
        </w:rPr>
      </w:pPr>
      <w:r>
        <w:rPr>
          <w:lang w:val="uk-UA"/>
        </w:rPr>
        <w:t>Проєкт рішення Національної комісії зі стандартів державної мови «Про внесення змін до рішення Національної комісії зі стандартів державної мови від 27 травня 2021 року № 23» розроблений на виконання частин першої та четвертої статті 47 Закону України «Про забезпечення функціонування української мови як державної», пункту 7 Положення про Національну комісію зі стандартів державної мови, затвердженого постановою Кабінету Міністрів України від 06 листопада 2019 року № 911, пункту 8 Порядку проведення іспитів на рівень володіння державною мовою, затвердженого постаново</w:t>
      </w:r>
      <w:r>
        <w:rPr>
          <w:lang w:val="uk-UA"/>
        </w:rPr>
        <w:t>ю</w:t>
      </w:r>
      <w:r>
        <w:rPr>
          <w:lang w:val="uk-UA"/>
        </w:rPr>
        <w:t xml:space="preserve"> Кабінету Міністрів України від 14 квітня 2021 року № 409.</w:t>
      </w:r>
    </w:p>
    <w:p>
      <w:pPr>
        <w:ind w:firstLine="709"/>
        <w:rPr>
          <w:lang w:val="uk-UA"/>
        </w:rPr>
      </w:pPr>
      <w:r>
        <w:rPr>
          <w:lang w:val="uk-UA"/>
        </w:rPr>
        <w:t>Відповідно до пункту 8 Порядку проведення іспитів на рівень володіння державною мовою, затвердженого постаново Кабінету Міністрів України від 14 квітня 2021 року № 409, Національна комісія зі стандартів державної мови (далі ‒ Комісія) своїм рішенням може делегувати повноваження щодо проведення іспиту та/або перевірки результатів іспиту уповноваженій установі. Визначення уповноважених установ та порядок їх призначення затверджує Комісія.</w:t>
      </w:r>
    </w:p>
    <w:p>
      <w:pPr>
        <w:ind w:firstLine="709"/>
        <w:rPr>
          <w:lang w:val="uk-UA"/>
        </w:rPr>
      </w:pPr>
      <w:r>
        <w:rPr>
          <w:lang w:val="uk-UA"/>
        </w:rPr>
        <w:t>З метою удосконалення механізмів призначення уповноважених установ, дотримання прав громадян з інвалідністю Комісія пропонує внести зміни до чинного Порядку призначення уповноважених установ та викласти його в новій редакції.</w:t>
      </w:r>
    </w:p>
    <w:p>
      <w:pPr>
        <w:ind w:firstLine="709"/>
        <w:rPr>
          <w:lang w:val="uk-UA"/>
        </w:rPr>
      </w:pPr>
      <w:r>
        <w:rPr>
          <w:lang w:val="uk-UA"/>
        </w:rPr>
        <w:t>Основні групи, на які справлятиме вплив проєкт рішення:</w:t>
      </w:r>
    </w:p>
    <w:tbl>
      <w:tblPr>
        <w:tblStyle w:val="T2"/>
        <w:tblW w:w="0" w:type="auto"/>
        <w:tblLook w:val="04A0"/>
      </w:tblPr>
      <w:tblGrid/>
      <w:tr>
        <w:tc>
          <w:tcPr>
            <w:tcW w:w="3115" w:type="dxa"/>
          </w:tcPr>
          <w:p>
            <w:pPr>
              <w:ind w:firstLine="709"/>
              <w:rPr>
                <w:lang w:val="uk-UA"/>
              </w:rPr>
            </w:pPr>
            <w:r>
              <w:rPr>
                <w:lang w:val="uk-UA"/>
              </w:rPr>
              <w:t>Групи (підгрупи)</w:t>
            </w:r>
          </w:p>
        </w:tc>
        <w:tc>
          <w:tcPr>
            <w:tcW w:w="3115" w:type="dxa"/>
          </w:tcPr>
          <w:p>
            <w:pPr>
              <w:ind w:firstLine="709"/>
              <w:rPr>
                <w:lang w:val="uk-UA"/>
              </w:rPr>
            </w:pPr>
            <w:r>
              <w:rPr>
                <w:lang w:val="uk-UA"/>
              </w:rPr>
              <w:t>Так</w:t>
            </w:r>
          </w:p>
        </w:tc>
        <w:tc>
          <w:tcPr>
            <w:tcW w:w="3115" w:type="dxa"/>
          </w:tcPr>
          <w:p>
            <w:pPr>
              <w:ind w:firstLine="709"/>
              <w:rPr>
                <w:lang w:val="uk-UA"/>
              </w:rPr>
            </w:pPr>
            <w:r>
              <w:rPr>
                <w:lang w:val="uk-UA"/>
              </w:rPr>
              <w:t>Ні</w:t>
            </w:r>
          </w:p>
        </w:tc>
      </w:tr>
      <w:tr>
        <w:tc>
          <w:tcPr>
            <w:tcW w:w="3115" w:type="dxa"/>
          </w:tcPr>
          <w:p>
            <w:pPr>
              <w:ind w:firstLine="709"/>
              <w:rPr>
                <w:lang w:val="uk-UA"/>
              </w:rPr>
            </w:pPr>
            <w:r>
              <w:rPr>
                <w:lang w:val="uk-UA"/>
              </w:rPr>
              <w:t>Громадяни</w:t>
            </w:r>
          </w:p>
        </w:tc>
        <w:tc>
          <w:tcPr>
            <w:tcW w:w="3115" w:type="dxa"/>
          </w:tcPr>
          <w:p>
            <w:pPr>
              <w:ind w:firstLine="709"/>
              <w:rPr>
                <w:lang w:val="uk-UA"/>
              </w:rPr>
            </w:pPr>
            <w:r>
              <w:rPr>
                <w:lang w:val="uk-UA"/>
              </w:rPr>
              <w:t>Х</w:t>
            </w:r>
          </w:p>
        </w:tc>
        <w:tc>
          <w:tcPr>
            <w:tcW w:w="3115" w:type="dxa"/>
          </w:tcPr>
          <w:p>
            <w:pPr>
              <w:ind w:firstLine="709"/>
              <w:rPr>
                <w:lang w:val="uk-UA"/>
              </w:rPr>
            </w:pPr>
          </w:p>
        </w:tc>
      </w:tr>
      <w:tr>
        <w:tc>
          <w:tcPr>
            <w:tcW w:w="3115" w:type="dxa"/>
          </w:tcPr>
          <w:p>
            <w:pPr>
              <w:ind w:firstLine="709"/>
              <w:rPr>
                <w:lang w:val="uk-UA"/>
              </w:rPr>
            </w:pPr>
            <w:r>
              <w:rPr>
                <w:lang w:val="uk-UA"/>
              </w:rPr>
              <w:t>Особи, що хочуть набути громадянство України</w:t>
            </w:r>
          </w:p>
        </w:tc>
        <w:tc>
          <w:tcPr>
            <w:tcW w:w="3115" w:type="dxa"/>
          </w:tcPr>
          <w:p>
            <w:pPr>
              <w:ind w:firstLine="709"/>
              <w:rPr>
                <w:lang w:val="uk-UA"/>
              </w:rPr>
            </w:pPr>
            <w:r>
              <w:rPr>
                <w:lang w:val="uk-UA"/>
              </w:rPr>
              <w:t>Х</w:t>
            </w:r>
          </w:p>
        </w:tc>
        <w:tc>
          <w:tcPr>
            <w:tcW w:w="3115" w:type="dxa"/>
          </w:tcPr>
          <w:p>
            <w:pPr>
              <w:ind w:firstLine="709"/>
              <w:rPr>
                <w:lang w:val="uk-UA"/>
              </w:rPr>
            </w:pPr>
          </w:p>
        </w:tc>
      </w:tr>
      <w:tr>
        <w:tc>
          <w:tcPr>
            <w:tcW w:w="3115" w:type="dxa"/>
          </w:tcPr>
          <w:p>
            <w:pPr>
              <w:ind w:firstLine="709"/>
              <w:rPr>
                <w:lang w:val="uk-UA"/>
              </w:rPr>
            </w:pPr>
            <w:r>
              <w:rPr>
                <w:lang w:val="uk-UA"/>
              </w:rPr>
              <w:t>Держава</w:t>
            </w:r>
          </w:p>
        </w:tc>
        <w:tc>
          <w:tcPr>
            <w:tcW w:w="3115" w:type="dxa"/>
          </w:tcPr>
          <w:p>
            <w:pPr>
              <w:ind w:firstLine="709"/>
              <w:rPr>
                <w:lang w:val="uk-UA"/>
              </w:rPr>
            </w:pPr>
            <w:r>
              <w:rPr>
                <w:lang w:val="uk-UA"/>
              </w:rPr>
              <w:t>Х</w:t>
            </w:r>
          </w:p>
        </w:tc>
        <w:tc>
          <w:tcPr>
            <w:tcW w:w="3115" w:type="dxa"/>
          </w:tcPr>
          <w:p>
            <w:pPr>
              <w:ind w:firstLine="709"/>
              <w:rPr>
                <w:lang w:val="uk-UA"/>
              </w:rPr>
            </w:pPr>
          </w:p>
        </w:tc>
      </w:tr>
      <w:tr>
        <w:tc>
          <w:tcPr>
            <w:tcW w:w="3115" w:type="dxa"/>
          </w:tcPr>
          <w:p>
            <w:pPr>
              <w:ind w:firstLine="709"/>
              <w:rPr>
                <w:lang w:val="uk-UA"/>
              </w:rPr>
            </w:pPr>
            <w:r>
              <w:rPr>
                <w:lang w:val="uk-UA"/>
              </w:rPr>
              <w:t>Суб’єкти господарювання</w:t>
            </w:r>
          </w:p>
        </w:tc>
        <w:tc>
          <w:tcPr>
            <w:tcW w:w="3115" w:type="dxa"/>
          </w:tcPr>
          <w:p>
            <w:pPr>
              <w:ind w:firstLine="709"/>
              <w:rPr>
                <w:lang w:val="uk-UA"/>
              </w:rPr>
            </w:pPr>
            <w:r>
              <w:rPr>
                <w:lang w:val="uk-UA"/>
              </w:rPr>
              <w:t>Х</w:t>
            </w:r>
          </w:p>
        </w:tc>
        <w:tc>
          <w:tcPr>
            <w:tcW w:w="3115" w:type="dxa"/>
          </w:tcPr>
          <w:p>
            <w:pPr>
              <w:ind w:firstLine="709"/>
              <w:rPr>
                <w:lang w:val="uk-UA"/>
              </w:rPr>
            </w:pPr>
          </w:p>
        </w:tc>
      </w:tr>
      <w:tr>
        <w:tc>
          <w:tcPr>
            <w:tcW w:w="3115" w:type="dxa"/>
          </w:tcPr>
          <w:p>
            <w:pPr>
              <w:ind w:firstLine="709"/>
              <w:rPr>
                <w:lang w:val="uk-UA"/>
              </w:rPr>
            </w:pPr>
            <w:r>
              <w:rPr>
                <w:lang w:val="uk-UA"/>
              </w:rPr>
              <w:t>У тому числі суб’єкти малого підприємництва</w:t>
            </w:r>
          </w:p>
        </w:tc>
        <w:tc>
          <w:tcPr>
            <w:tcW w:w="3115" w:type="dxa"/>
          </w:tcPr>
          <w:p>
            <w:pPr>
              <w:ind w:firstLine="709"/>
              <w:rPr>
                <w:lang w:val="uk-UA"/>
              </w:rPr>
            </w:pPr>
          </w:p>
        </w:tc>
        <w:tc>
          <w:tcPr>
            <w:tcW w:w="3115" w:type="dxa"/>
          </w:tcPr>
          <w:p>
            <w:pPr>
              <w:ind w:firstLine="709"/>
              <w:rPr>
                <w:lang w:val="uk-UA"/>
              </w:rPr>
            </w:pPr>
            <w:r>
              <w:rPr>
                <w:lang w:val="uk-UA"/>
              </w:rPr>
              <w:t>Х</w:t>
            </w:r>
          </w:p>
        </w:tc>
      </w:tr>
    </w:tbl>
    <w:p>
      <w:pPr>
        <w:ind w:firstLine="709"/>
        <w:rPr>
          <w:lang w:val="uk-UA"/>
        </w:rPr>
      </w:pPr>
      <w:r>
        <w:rPr>
          <w:lang w:val="uk-UA"/>
        </w:rPr>
        <w:t>Проблема не може бути вирішена за допомогою ринкових механізмів, оскільки відповідно до положень Порядку проведення іспитів на рівень володіння державною мовою, призначення уповноважених установ визначає Комісія.</w:t>
      </w:r>
    </w:p>
    <w:p>
      <w:pPr>
        <w:ind w:firstLine="709"/>
        <w:rPr>
          <w:lang w:val="uk-UA"/>
        </w:rPr>
      </w:pPr>
    </w:p>
    <w:p>
      <w:pPr>
        <w:ind w:firstLine="709"/>
        <w:rPr>
          <w:b w:val="1"/>
          <w:bCs w:val="1"/>
          <w:lang w:val="uk-UA"/>
        </w:rPr>
      </w:pPr>
      <w:r>
        <w:rPr>
          <w:b w:val="1"/>
          <w:bCs w:val="1"/>
          <w:lang w:val="uk-UA"/>
        </w:rPr>
        <w:t>2. Цілі державного регулювання</w:t>
      </w:r>
    </w:p>
    <w:p>
      <w:pPr>
        <w:ind w:firstLine="709"/>
        <w:rPr>
          <w:lang w:val="uk-UA"/>
        </w:rPr>
      </w:pPr>
      <w:r>
        <w:rPr>
          <w:lang w:val="uk-UA"/>
        </w:rPr>
        <w:t>Цілями державного регулювання проєкту рішення є:</w:t>
      </w:r>
    </w:p>
    <w:p>
      <w:pPr>
        <w:ind w:firstLine="709"/>
        <w:rPr>
          <w:lang w:val="uk-UA"/>
        </w:rPr>
      </w:pPr>
      <w:r>
        <w:rPr>
          <w:lang w:val="uk-UA"/>
        </w:rPr>
        <w:t>‒ удосконалення нормативно-правового підґрунтя для призначення уповноважених установ, яким Комісія може делегувати повноваження з проведення іспитів на визначення рівня володіння державною мовою та</w:t>
      </w:r>
      <w:r>
        <w:t>/</w:t>
      </w:r>
      <w:r>
        <w:rPr>
          <w:lang w:val="uk-UA"/>
        </w:rPr>
        <w:t>або перевірки результатів таких іспитів;</w:t>
      </w:r>
    </w:p>
    <w:p>
      <w:pPr>
        <w:ind w:firstLine="709"/>
        <w:rPr>
          <w:lang w:val="uk-UA"/>
        </w:rPr>
      </w:pPr>
      <w:r>
        <w:rPr>
          <w:lang w:val="uk-UA"/>
        </w:rPr>
        <w:t>‒ дотримання вимог Закону України «Про забезпечення функціонування української мови як державної», дотримання прав осіб з інвалідністю;</w:t>
      </w:r>
    </w:p>
    <w:p>
      <w:pPr>
        <w:ind w:firstLine="709"/>
        <w:rPr>
          <w:lang w:val="uk-UA"/>
        </w:rPr>
      </w:pPr>
      <w:r>
        <w:rPr>
          <w:lang w:val="uk-UA"/>
        </w:rPr>
        <w:t>‒ дотримання норм доброчесності під час складення іспитів на рівень володіння державною мовою;</w:t>
      </w:r>
    </w:p>
    <w:p>
      <w:pPr>
        <w:ind w:firstLine="709"/>
        <w:rPr>
          <w:lang w:val="uk-UA"/>
        </w:rPr>
      </w:pPr>
      <w:r>
        <w:rPr>
          <w:lang w:val="uk-UA"/>
        </w:rPr>
        <w:t>‒ розширення мережі установ, яким Комісія може делегувати повноваження із проведення іспитів на визначення рівня володіння державною мовою.</w:t>
      </w:r>
    </w:p>
    <w:p>
      <w:pPr>
        <w:rPr>
          <w:lang w:val="uk-UA"/>
        </w:rPr>
      </w:pPr>
    </w:p>
    <w:p>
      <w:pPr>
        <w:rPr>
          <w:b w:val="1"/>
          <w:bCs w:val="1"/>
          <w:lang w:val="uk-UA"/>
        </w:rPr>
      </w:pPr>
      <w:r>
        <w:rPr>
          <w:b w:val="1"/>
          <w:bCs w:val="1"/>
          <w:lang w:val="uk-UA"/>
        </w:rPr>
        <w:t>3. Визначення та оцінка альтернативних способів досягнення цілей</w:t>
      </w:r>
    </w:p>
    <w:tbl>
      <w:tblPr>
        <w:tblStyle w:val="T2"/>
        <w:tblW w:w="0" w:type="auto"/>
        <w:tblLook w:val="04A0"/>
      </w:tblPr>
      <w:tblGrid/>
      <w:tr>
        <w:tc>
          <w:tcPr>
            <w:tcW w:w="4672" w:type="dxa"/>
          </w:tcPr>
          <w:p>
            <w:pPr>
              <w:ind w:firstLine="0"/>
              <w:rPr>
                <w:lang w:val="uk-UA"/>
              </w:rPr>
            </w:pPr>
            <w:r>
              <w:rPr>
                <w:lang w:val="uk-UA"/>
              </w:rPr>
              <w:t>Вид альтернативи</w:t>
            </w:r>
          </w:p>
        </w:tc>
        <w:tc>
          <w:tcPr>
            <w:tcW w:w="4673" w:type="dxa"/>
          </w:tcPr>
          <w:p>
            <w:pPr>
              <w:ind w:firstLine="0"/>
              <w:rPr>
                <w:lang w:val="uk-UA"/>
              </w:rPr>
            </w:pPr>
            <w:r>
              <w:rPr>
                <w:lang w:val="uk-UA"/>
              </w:rPr>
              <w:t>Опис альтернативи</w:t>
            </w:r>
          </w:p>
        </w:tc>
      </w:tr>
      <w:tr>
        <w:tc>
          <w:tcPr>
            <w:tcW w:w="4672" w:type="dxa"/>
          </w:tcPr>
          <w:p>
            <w:pPr>
              <w:ind w:firstLine="0"/>
              <w:rPr>
                <w:lang w:val="uk-UA"/>
              </w:rPr>
            </w:pPr>
            <w:r>
              <w:rPr>
                <w:lang w:val="uk-UA"/>
              </w:rPr>
              <w:t>Альтернатива 1</w:t>
            </w:r>
          </w:p>
        </w:tc>
        <w:tc>
          <w:tcPr>
            <w:tcW w:w="4673" w:type="dxa"/>
          </w:tcPr>
          <w:p>
            <w:pPr>
              <w:ind w:firstLine="0"/>
              <w:rPr>
                <w:lang w:val="uk-UA"/>
              </w:rPr>
            </w:pPr>
            <w:r>
              <w:rPr>
                <w:lang w:val="uk-UA"/>
              </w:rPr>
              <w:t>Залишення ситуації без змін</w:t>
            </w:r>
          </w:p>
          <w:p>
            <w:pPr>
              <w:ind w:firstLine="0"/>
              <w:rPr>
                <w:lang w:val="uk-UA"/>
              </w:rPr>
            </w:pPr>
            <w:r>
              <w:rPr>
                <w:lang w:val="uk-UA"/>
              </w:rPr>
              <w:t>Чинний Порядок призначення спеціально уповноважених установ (організацій), які проводять іспити на рівень володіння державною мовою встановлює можливість призначення такою установою тільки закладів вищої освіти, які проводять освітню діяльність з обмеженого кола спеціальностей: 035 Філологія (Українська мова та література), 014 Освіта (зі спеціалізацією Українська мова та література), 281 Публічне управління та адміністрування.</w:t>
            </w:r>
          </w:p>
          <w:p>
            <w:pPr>
              <w:ind w:firstLine="0"/>
              <w:rPr>
                <w:lang w:val="uk-UA"/>
              </w:rPr>
            </w:pPr>
            <w:r>
              <w:rPr>
                <w:lang w:val="uk-UA"/>
              </w:rPr>
              <w:t>Відсутність нормативно-правового акта, який встановлює вимогу мати у власності чи користуванні укриття, облаштовані відповідно до вимог законодавства, може зашкодити у реалізації права громадян на безпечні умови під час складання іспитів на рівень володіння державною мовою.</w:t>
            </w:r>
          </w:p>
          <w:p>
            <w:pPr>
              <w:ind w:firstLine="0"/>
              <w:rPr>
                <w:lang w:val="uk-UA"/>
              </w:rPr>
            </w:pPr>
            <w:r>
              <w:rPr>
                <w:lang w:val="uk-UA"/>
              </w:rPr>
              <w:t>Крім того, неприйняття нормативно-правового акта в новій редакції може призвести до порушення прав осіб з інвалідністю на вільний доступ до місця проведення іспиту на рівень володіння державною мовою, порушити їхнє право на неупереджене ставлення до претендентів під час проведення іспитів, встановлене частиною четвертою статті 48 Закону України «Про забезпечення функціонування української мови як державної».</w:t>
            </w:r>
          </w:p>
          <w:p>
            <w:pPr>
              <w:ind w:firstLine="0"/>
              <w:rPr>
                <w:lang w:val="uk-UA"/>
              </w:rPr>
            </w:pPr>
            <w:r>
              <w:rPr>
                <w:lang w:val="uk-UA"/>
              </w:rPr>
              <w:t>Відсутність нормативно-правового акта у запропонованій редакції призведе до неврегульованості в діяльності уповноважених установ, зокрема в частині функцій інструкторів під час проведення іспитів на визначення рівня володіння державною мовою, прозорості у їхній діяльності під час надання послуг з проведення іспитів.</w:t>
            </w:r>
          </w:p>
          <w:p>
            <w:pPr>
              <w:ind w:firstLine="0"/>
              <w:rPr>
                <w:lang w:val="uk-UA"/>
              </w:rPr>
            </w:pPr>
            <w:r>
              <w:rPr>
                <w:lang w:val="uk-UA"/>
              </w:rPr>
              <w:t>Відсутність нормативно-правового акта може призвести до неможливості з боку Комісії припиняти повноваження інструктора в уповноваженій установі у разі порушення ним норм доброчесності, неврегулювання конфлікту інтересів, неналежного виконання своїх обов’язків</w:t>
            </w:r>
          </w:p>
        </w:tc>
      </w:tr>
      <w:tr>
        <w:tc>
          <w:tcPr>
            <w:tcW w:w="4672" w:type="dxa"/>
          </w:tcPr>
          <w:p>
            <w:pPr>
              <w:ind w:firstLine="0"/>
              <w:rPr>
                <w:lang w:val="uk-UA"/>
              </w:rPr>
            </w:pPr>
            <w:r>
              <w:rPr>
                <w:lang w:val="uk-UA"/>
              </w:rPr>
              <w:t>Альтернатива 2</w:t>
            </w:r>
          </w:p>
        </w:tc>
        <w:tc>
          <w:tcPr>
            <w:tcW w:w="4673" w:type="dxa"/>
          </w:tcPr>
          <w:p>
            <w:pPr>
              <w:ind w:firstLine="0"/>
              <w:rPr>
                <w:lang w:val="uk-UA"/>
              </w:rPr>
            </w:pPr>
            <w:r>
              <w:rPr>
                <w:lang w:val="uk-UA"/>
              </w:rPr>
              <w:t>Прийняття проєкту рішення</w:t>
            </w:r>
          </w:p>
          <w:p>
            <w:pPr>
              <w:ind w:firstLine="0"/>
              <w:rPr>
                <w:lang w:val="uk-UA"/>
              </w:rPr>
            </w:pPr>
            <w:r>
              <w:rPr>
                <w:lang w:val="uk-UA"/>
              </w:rPr>
              <w:t>Прийняття проєкту рішення необхідне для виконання положень статей 21, 24 Конституції України, положень Закону України «Про забезпечення функціонування української мови як державної», Порядку проведення іспитів на рівень володіння державною мовою, затвердженого постаново Кабінету Міністрів України від 14 квітня 2021 року № 409.</w:t>
            </w:r>
          </w:p>
          <w:p>
            <w:pPr>
              <w:ind w:firstLine="0"/>
              <w:rPr>
                <w:lang w:val="uk-UA"/>
              </w:rPr>
            </w:pPr>
            <w:r>
              <w:rPr>
                <w:lang w:val="uk-UA"/>
              </w:rPr>
              <w:t>Проєкт рішення встановлює чіткий механізм реалізації норм щодо призначення уповноважених установ, покликаний покращити стан дотримання норм законодавства в уповноважених установах під час проведення іспитів на визначення рівня володіння державною мовою.</w:t>
            </w:r>
          </w:p>
        </w:tc>
      </w:tr>
    </w:tbl>
    <w:p>
      <w:pPr>
        <w:rPr>
          <w:lang w:val="uk-UA"/>
        </w:rPr>
      </w:pPr>
      <w:r>
        <w:rPr>
          <w:lang w:val="uk-UA"/>
        </w:rPr>
        <w:t>Оцінка впливу на сферу інтересів держави</w:t>
      </w:r>
    </w:p>
    <w:p>
      <w:pPr>
        <w:rPr>
          <w:lang w:val="uk-UA"/>
        </w:rPr>
      </w:pPr>
    </w:p>
    <w:tbl>
      <w:tblPr>
        <w:tblStyle w:val="T2"/>
        <w:tblW w:w="0" w:type="auto"/>
        <w:tblLook w:val="04A0"/>
      </w:tblPr>
      <w:tblGrid/>
      <w:tr>
        <w:tc>
          <w:tcPr>
            <w:tcW w:w="3115" w:type="dxa"/>
          </w:tcPr>
          <w:p>
            <w:pPr>
              <w:ind w:firstLine="0"/>
              <w:rPr>
                <w:lang w:val="uk-UA"/>
              </w:rPr>
            </w:pPr>
            <w:r>
              <w:rPr>
                <w:lang w:val="uk-UA"/>
              </w:rPr>
              <w:t>Вид альтернативи</w:t>
            </w:r>
          </w:p>
        </w:tc>
        <w:tc>
          <w:tcPr>
            <w:tcW w:w="3115" w:type="dxa"/>
          </w:tcPr>
          <w:p>
            <w:pPr>
              <w:ind w:firstLine="0"/>
              <w:rPr>
                <w:lang w:val="uk-UA"/>
              </w:rPr>
            </w:pPr>
            <w:r>
              <w:rPr>
                <w:lang w:val="uk-UA"/>
              </w:rPr>
              <w:t>Вигоди</w:t>
            </w:r>
          </w:p>
        </w:tc>
        <w:tc>
          <w:tcPr>
            <w:tcW w:w="3115" w:type="dxa"/>
          </w:tcPr>
          <w:p>
            <w:pPr>
              <w:ind w:firstLine="0"/>
              <w:rPr>
                <w:lang w:val="uk-UA"/>
              </w:rPr>
            </w:pPr>
            <w:r>
              <w:rPr>
                <w:lang w:val="uk-UA"/>
              </w:rPr>
              <w:t>Витрати</w:t>
            </w:r>
          </w:p>
        </w:tc>
      </w:tr>
      <w:tr>
        <w:tc>
          <w:tcPr>
            <w:tcW w:w="3115" w:type="dxa"/>
          </w:tcPr>
          <w:p>
            <w:pPr>
              <w:ind w:firstLine="0"/>
              <w:rPr>
                <w:lang w:val="uk-UA"/>
              </w:rPr>
            </w:pPr>
            <w:r>
              <w:rPr>
                <w:lang w:val="uk-UA"/>
              </w:rPr>
              <w:t>Альтернатива 1</w:t>
            </w:r>
          </w:p>
        </w:tc>
        <w:tc>
          <w:tcPr>
            <w:tcW w:w="3115" w:type="dxa"/>
          </w:tcPr>
          <w:p>
            <w:pPr>
              <w:ind w:firstLine="0"/>
              <w:rPr>
                <w:lang w:val="uk-UA"/>
              </w:rPr>
            </w:pPr>
            <w:r>
              <w:rPr>
                <w:lang w:val="uk-UA"/>
              </w:rPr>
              <w:t>Відсутні</w:t>
            </w:r>
          </w:p>
        </w:tc>
        <w:tc>
          <w:tcPr>
            <w:tcW w:w="3115" w:type="dxa"/>
          </w:tcPr>
          <w:p>
            <w:pPr>
              <w:ind w:firstLine="0"/>
              <w:rPr>
                <w:lang w:val="uk-UA"/>
              </w:rPr>
            </w:pPr>
            <w:r>
              <w:rPr>
                <w:lang w:val="uk-UA"/>
              </w:rPr>
              <w:t>Залишення наявного Порядку призначення спеціально уповноважених установ (організацій), які проводять іспити на рівень володіння державною мовою без змін призведе до того, що питання наявності укриттів, які відповідають чинним вимогам законодавства, залишаться поза нормативним регулюванням.</w:t>
            </w:r>
          </w:p>
          <w:p>
            <w:pPr>
              <w:ind w:firstLine="0"/>
              <w:rPr>
                <w:lang w:val="uk-UA"/>
              </w:rPr>
            </w:pPr>
            <w:r>
              <w:rPr>
                <w:lang w:val="uk-UA"/>
              </w:rPr>
              <w:t>Відсутність правил щодо забезпечення прав осіб з інвалідністю під час складання іспитів на рівень володіння державною мовою призведе до порушення конституційних прав таких осіб.</w:t>
            </w:r>
          </w:p>
        </w:tc>
      </w:tr>
      <w:tr>
        <w:tc>
          <w:tcPr>
            <w:tcW w:w="3115" w:type="dxa"/>
          </w:tcPr>
          <w:p>
            <w:pPr>
              <w:ind w:firstLine="0"/>
              <w:rPr>
                <w:lang w:val="uk-UA"/>
              </w:rPr>
            </w:pPr>
            <w:r>
              <w:rPr>
                <w:lang w:val="uk-UA"/>
              </w:rPr>
              <w:t>Альтернатива 2</w:t>
            </w:r>
          </w:p>
        </w:tc>
        <w:tc>
          <w:tcPr>
            <w:tcW w:w="3115" w:type="dxa"/>
          </w:tcPr>
          <w:p>
            <w:pPr>
              <w:ind w:firstLine="0"/>
              <w:rPr>
                <w:lang w:val="uk-UA"/>
              </w:rPr>
            </w:pPr>
            <w:r>
              <w:rPr>
                <w:lang w:val="uk-UA"/>
              </w:rPr>
              <w:t>Прийняття регуляторного акта забезпечить:</w:t>
            </w:r>
          </w:p>
          <w:p>
            <w:pPr>
              <w:ind w:firstLine="0"/>
              <w:rPr>
                <w:lang w:val="uk-UA"/>
              </w:rPr>
            </w:pPr>
            <w:r>
              <w:rPr>
                <w:lang w:val="uk-UA"/>
              </w:rPr>
              <w:t>‒ розширення кола установ, організацій, яким Комісія може делегувати повноваження із проведення та</w:t>
            </w:r>
            <w:r>
              <w:t>/</w:t>
            </w:r>
            <w:r>
              <w:rPr>
                <w:lang w:val="uk-UA"/>
              </w:rPr>
              <w:t xml:space="preserve"> або перевірки результатів іспитів на рівень володіння державною мовою;</w:t>
            </w:r>
          </w:p>
          <w:p>
            <w:pPr>
              <w:ind w:firstLine="0"/>
              <w:rPr>
                <w:lang w:val="uk-UA"/>
              </w:rPr>
            </w:pPr>
            <w:r>
              <w:rPr>
                <w:lang w:val="uk-UA"/>
              </w:rPr>
              <w:t>‒ дотримання з боку уповноважених установ вимог законодавства щодо укриттів, як наслідок, рівень захисту громадян;</w:t>
            </w:r>
          </w:p>
          <w:p>
            <w:pPr>
              <w:ind w:firstLine="0"/>
              <w:rPr>
                <w:lang w:val="uk-UA"/>
              </w:rPr>
            </w:pPr>
            <w:r>
              <w:rPr>
                <w:lang w:val="uk-UA"/>
              </w:rPr>
              <w:t>‒ дотримання прав осіб з інвалідністю щодо рівного доступу для складання іспиту на рівень володіння державною мовою.</w:t>
            </w:r>
          </w:p>
        </w:tc>
        <w:tc>
          <w:tcPr>
            <w:tcW w:w="3115" w:type="dxa"/>
          </w:tcPr>
          <w:p>
            <w:pPr>
              <w:ind w:firstLine="0"/>
              <w:rPr>
                <w:lang w:val="uk-UA"/>
              </w:rPr>
            </w:pPr>
            <w:r>
              <w:rPr>
                <w:lang w:val="uk-UA"/>
              </w:rPr>
              <w:t>Не прогнозуються.</w:t>
            </w:r>
          </w:p>
          <w:p>
            <w:pPr>
              <w:ind w:firstLine="0"/>
              <w:rPr>
                <w:lang w:val="uk-UA"/>
              </w:rPr>
            </w:pPr>
            <w:r>
              <w:rPr>
                <w:lang w:val="uk-UA"/>
              </w:rPr>
              <w:t>Необхідність у додатковому виділенні коштів з державного бюджету відсутня, оскільки технічне забезпечення реалізації покладене на уповноважені установи, яким Комісія своїм рішення м може делегувати повноваження з організації та проведення іспитів на рівень володіння державною мовою та/або перевірки результатів таких іспитів.</w:t>
            </w:r>
          </w:p>
        </w:tc>
      </w:tr>
    </w:tbl>
    <w:p>
      <w:pPr>
        <w:rPr>
          <w:lang w:val="uk-UA"/>
        </w:rPr>
      </w:pPr>
    </w:p>
    <w:p>
      <w:pPr>
        <w:ind w:firstLine="709"/>
        <w:rPr>
          <w:lang w:val="uk-UA"/>
        </w:rPr>
      </w:pPr>
      <w:r>
        <w:rPr>
          <w:lang w:val="uk-UA"/>
        </w:rPr>
        <w:t>Оцінка впливу на інтереси громадян</w:t>
      </w:r>
    </w:p>
    <w:p>
      <w:pPr>
        <w:ind w:firstLine="709"/>
        <w:rPr>
          <w:lang w:val="uk-UA"/>
        </w:rPr>
      </w:pPr>
      <w:r>
        <w:rPr>
          <w:lang w:val="uk-UA"/>
        </w:rPr>
        <w:t>Проєкт рішення врегульовує Порядок призначення уповноважених установ, яким Комісія може делегувати повноваження із проведення іспитів на визначення рівня володіння державною мовою.</w:t>
      </w:r>
    </w:p>
    <w:p>
      <w:pPr>
        <w:ind w:firstLine="709"/>
        <w:rPr>
          <w:lang w:val="uk-UA"/>
        </w:rPr>
      </w:pPr>
      <w:r>
        <w:rPr>
          <w:lang w:val="uk-UA"/>
        </w:rPr>
        <w:t>Дія порядку забезпечує інтереси громадян, зокрема в питаннях рівного доступу осіб з інвалідністю до місць проведення іспитів на рівень володіння державною мовою, забезпечення громадян належним чином облаштованих укриттів цивільного захисту в умовах воєнного стану.</w:t>
      </w:r>
    </w:p>
    <w:p>
      <w:pPr>
        <w:rPr>
          <w:lang w:val="uk-UA"/>
        </w:rPr>
      </w:pPr>
    </w:p>
    <w:tbl>
      <w:tblPr>
        <w:tblStyle w:val="T2"/>
        <w:tblW w:w="0" w:type="auto"/>
        <w:tblLook w:val="04A0"/>
      </w:tblPr>
      <w:tblGrid/>
      <w:tr>
        <w:tc>
          <w:tcPr>
            <w:tcW w:w="3115" w:type="dxa"/>
          </w:tcPr>
          <w:p>
            <w:pPr>
              <w:ind w:firstLine="0"/>
              <w:rPr>
                <w:lang w:val="uk-UA"/>
              </w:rPr>
            </w:pPr>
            <w:r>
              <w:rPr>
                <w:lang w:val="uk-UA"/>
              </w:rPr>
              <w:t>Вид альтернативи</w:t>
            </w:r>
          </w:p>
        </w:tc>
        <w:tc>
          <w:tcPr>
            <w:tcW w:w="3115" w:type="dxa"/>
          </w:tcPr>
          <w:p>
            <w:pPr>
              <w:ind w:firstLine="0"/>
              <w:rPr>
                <w:lang w:val="uk-UA"/>
              </w:rPr>
            </w:pPr>
            <w:r>
              <w:rPr>
                <w:lang w:val="uk-UA"/>
              </w:rPr>
              <w:t>Вигоди</w:t>
            </w:r>
          </w:p>
        </w:tc>
        <w:tc>
          <w:tcPr>
            <w:tcW w:w="3115" w:type="dxa"/>
          </w:tcPr>
          <w:p>
            <w:pPr>
              <w:ind w:firstLine="0"/>
              <w:rPr>
                <w:lang w:val="uk-UA"/>
              </w:rPr>
            </w:pPr>
            <w:r>
              <w:rPr>
                <w:lang w:val="uk-UA"/>
              </w:rPr>
              <w:t>Витрати</w:t>
            </w:r>
          </w:p>
        </w:tc>
      </w:tr>
      <w:tr>
        <w:tc>
          <w:tcPr>
            <w:tcW w:w="3115" w:type="dxa"/>
          </w:tcPr>
          <w:p>
            <w:pPr>
              <w:ind w:firstLine="0"/>
              <w:rPr>
                <w:lang w:val="uk-UA"/>
              </w:rPr>
            </w:pPr>
            <w:r>
              <w:rPr>
                <w:lang w:val="uk-UA"/>
              </w:rPr>
              <w:t>Альтернатива 1</w:t>
            </w:r>
          </w:p>
        </w:tc>
        <w:tc>
          <w:tcPr>
            <w:tcW w:w="3115" w:type="dxa"/>
          </w:tcPr>
          <w:p>
            <w:pPr>
              <w:ind w:firstLine="0"/>
              <w:rPr>
                <w:lang w:val="uk-UA"/>
              </w:rPr>
            </w:pPr>
            <w:r>
              <w:rPr>
                <w:lang w:val="uk-UA"/>
              </w:rPr>
              <w:t>Відсутні</w:t>
            </w:r>
          </w:p>
        </w:tc>
        <w:tc>
          <w:tcPr>
            <w:tcW w:w="3115" w:type="dxa"/>
          </w:tcPr>
          <w:p>
            <w:pPr>
              <w:ind w:firstLine="0"/>
              <w:rPr>
                <w:lang w:val="uk-UA"/>
              </w:rPr>
            </w:pPr>
            <w:r>
              <w:rPr>
                <w:lang w:val="uk-UA"/>
              </w:rPr>
              <w:t>Відсутні</w:t>
            </w:r>
          </w:p>
        </w:tc>
      </w:tr>
      <w:tr>
        <w:tc>
          <w:tcPr>
            <w:tcW w:w="3115" w:type="dxa"/>
          </w:tcPr>
          <w:p>
            <w:pPr>
              <w:ind w:firstLine="0"/>
              <w:rPr>
                <w:lang w:val="uk-UA"/>
              </w:rPr>
            </w:pPr>
            <w:r>
              <w:rPr>
                <w:lang w:val="uk-UA"/>
              </w:rPr>
              <w:t>Альтернатива 2</w:t>
            </w:r>
          </w:p>
        </w:tc>
        <w:tc>
          <w:tcPr>
            <w:tcW w:w="3115" w:type="dxa"/>
          </w:tcPr>
          <w:p>
            <w:pPr>
              <w:ind w:firstLine="0"/>
              <w:rPr>
                <w:lang w:val="uk-UA"/>
              </w:rPr>
            </w:pPr>
            <w:r>
              <w:rPr>
                <w:lang w:val="uk-UA"/>
              </w:rPr>
              <w:t>Наявні</w:t>
            </w:r>
          </w:p>
        </w:tc>
        <w:tc>
          <w:tcPr>
            <w:tcW w:w="3115" w:type="dxa"/>
          </w:tcPr>
          <w:p>
            <w:pPr>
              <w:ind w:firstLine="0"/>
              <w:rPr>
                <w:lang w:val="uk-UA"/>
              </w:rPr>
            </w:pPr>
            <w:r>
              <w:rPr>
                <w:lang w:val="uk-UA"/>
              </w:rPr>
              <w:t>Відсутні</w:t>
            </w:r>
          </w:p>
        </w:tc>
      </w:tr>
    </w:tbl>
    <w:p>
      <w:pPr>
        <w:rPr>
          <w:lang w:val="uk-UA"/>
        </w:rPr>
      </w:pPr>
    </w:p>
    <w:p>
      <w:pPr>
        <w:rPr>
          <w:lang w:val="uk-UA"/>
        </w:rPr>
      </w:pPr>
      <w:r>
        <w:rPr>
          <w:lang w:val="uk-UA"/>
        </w:rPr>
        <w:t>Оцінка впливу на сферу інтересів суб’єктів господарювання</w:t>
      </w:r>
    </w:p>
    <w:p>
      <w:pPr>
        <w:rPr>
          <w:lang w:val="uk-UA"/>
        </w:rPr>
      </w:pPr>
    </w:p>
    <w:tbl>
      <w:tblPr>
        <w:tblStyle w:val="T2"/>
        <w:tblW w:w="0" w:type="auto"/>
        <w:tblLook w:val="04A0"/>
      </w:tblPr>
      <w:tblGrid/>
      <w:tr>
        <w:tc>
          <w:tcPr>
            <w:tcW w:w="1557" w:type="dxa"/>
          </w:tcPr>
          <w:p>
            <w:pPr>
              <w:ind w:firstLine="0"/>
              <w:rPr>
                <w:lang w:val="uk-UA"/>
              </w:rPr>
            </w:pPr>
            <w:r>
              <w:rPr>
                <w:lang w:val="uk-UA"/>
              </w:rPr>
              <w:t>Показник</w:t>
            </w:r>
          </w:p>
        </w:tc>
        <w:tc>
          <w:tcPr>
            <w:tcW w:w="1557" w:type="dxa"/>
          </w:tcPr>
          <w:p>
            <w:pPr>
              <w:ind w:firstLine="0"/>
              <w:rPr>
                <w:lang w:val="uk-UA"/>
              </w:rPr>
            </w:pPr>
            <w:r>
              <w:rPr>
                <w:lang w:val="uk-UA"/>
              </w:rPr>
              <w:t>Великі*</w:t>
            </w:r>
          </w:p>
        </w:tc>
        <w:tc>
          <w:tcPr>
            <w:tcW w:w="1557" w:type="dxa"/>
          </w:tcPr>
          <w:p>
            <w:pPr>
              <w:ind w:firstLine="0"/>
              <w:rPr>
                <w:lang w:val="uk-UA"/>
              </w:rPr>
            </w:pPr>
            <w:r>
              <w:rPr>
                <w:lang w:val="uk-UA"/>
              </w:rPr>
              <w:t>Середні</w:t>
            </w:r>
          </w:p>
        </w:tc>
        <w:tc>
          <w:tcPr>
            <w:tcW w:w="1558" w:type="dxa"/>
          </w:tcPr>
          <w:p>
            <w:pPr>
              <w:ind w:firstLine="0"/>
              <w:rPr>
                <w:lang w:val="uk-UA"/>
              </w:rPr>
            </w:pPr>
            <w:r>
              <w:rPr>
                <w:lang w:val="uk-UA"/>
              </w:rPr>
              <w:t>Малі</w:t>
            </w:r>
          </w:p>
        </w:tc>
        <w:tc>
          <w:tcPr>
            <w:tcW w:w="1558" w:type="dxa"/>
          </w:tcPr>
          <w:p>
            <w:pPr>
              <w:ind w:firstLine="0"/>
              <w:rPr>
                <w:lang w:val="uk-UA"/>
              </w:rPr>
            </w:pPr>
            <w:r>
              <w:rPr>
                <w:lang w:val="uk-UA"/>
              </w:rPr>
              <w:t>Мікро</w:t>
            </w:r>
          </w:p>
        </w:tc>
        <w:tc>
          <w:tcPr>
            <w:tcW w:w="1558" w:type="dxa"/>
          </w:tcPr>
          <w:p>
            <w:pPr>
              <w:ind w:firstLine="0"/>
              <w:rPr>
                <w:lang w:val="uk-UA"/>
              </w:rPr>
            </w:pPr>
            <w:r>
              <w:rPr>
                <w:lang w:val="uk-UA"/>
              </w:rPr>
              <w:t>Разом</w:t>
            </w:r>
          </w:p>
        </w:tc>
      </w:tr>
      <w:tr>
        <w:tc>
          <w:tcPr>
            <w:tcW w:w="1557" w:type="dxa"/>
          </w:tcPr>
          <w:p>
            <w:pPr>
              <w:ind w:firstLine="0"/>
              <w:jc w:val="left"/>
              <w:rPr>
                <w:lang w:val="uk-UA"/>
              </w:rPr>
            </w:pPr>
            <w:r>
              <w:rPr>
                <w:lang w:val="uk-UA"/>
              </w:rPr>
              <w:t>Кількість суб’єктів господарювання, які є уповноваженими установами**</w:t>
            </w:r>
          </w:p>
        </w:tc>
        <w:tc>
          <w:tcPr>
            <w:tcW w:w="1557" w:type="dxa"/>
          </w:tcPr>
          <w:p>
            <w:pPr>
              <w:ind w:firstLine="0"/>
              <w:jc w:val="center"/>
              <w:rPr>
                <w:lang w:val="uk-UA"/>
              </w:rPr>
            </w:pPr>
          </w:p>
          <w:p>
            <w:pPr>
              <w:ind w:firstLine="0"/>
              <w:jc w:val="center"/>
              <w:rPr>
                <w:lang w:val="uk-UA"/>
              </w:rPr>
            </w:pPr>
            <w:r>
              <w:rPr>
                <w:lang w:val="uk-UA"/>
              </w:rPr>
              <w:t>60</w:t>
            </w:r>
          </w:p>
        </w:tc>
        <w:tc>
          <w:tcPr>
            <w:tcW w:w="1557" w:type="dxa"/>
          </w:tcPr>
          <w:p>
            <w:pPr>
              <w:ind w:firstLine="0"/>
              <w:jc w:val="center"/>
              <w:rPr>
                <w:lang w:val="uk-UA"/>
              </w:rPr>
            </w:pPr>
          </w:p>
          <w:p>
            <w:pPr>
              <w:ind w:firstLine="0"/>
              <w:jc w:val="center"/>
              <w:rPr>
                <w:lang w:val="uk-UA"/>
              </w:rPr>
            </w:pPr>
            <w:r>
              <w:rPr>
                <w:lang w:val="uk-UA"/>
              </w:rPr>
              <w:t>0</w:t>
            </w:r>
          </w:p>
        </w:tc>
        <w:tc>
          <w:tcPr>
            <w:tcW w:w="1558" w:type="dxa"/>
          </w:tcPr>
          <w:p>
            <w:pPr>
              <w:ind w:firstLine="0"/>
              <w:jc w:val="center"/>
              <w:rPr>
                <w:lang w:val="uk-UA"/>
              </w:rPr>
            </w:pPr>
          </w:p>
          <w:p>
            <w:pPr>
              <w:ind w:firstLine="0"/>
              <w:jc w:val="center"/>
              <w:rPr>
                <w:lang w:val="uk-UA"/>
              </w:rPr>
            </w:pPr>
            <w:r>
              <w:rPr>
                <w:lang w:val="uk-UA"/>
              </w:rPr>
              <w:t>0</w:t>
            </w:r>
          </w:p>
        </w:tc>
        <w:tc>
          <w:tcPr>
            <w:tcW w:w="1558" w:type="dxa"/>
          </w:tcPr>
          <w:p>
            <w:pPr>
              <w:ind w:firstLine="0"/>
              <w:jc w:val="center"/>
              <w:rPr>
                <w:lang w:val="uk-UA"/>
              </w:rPr>
            </w:pPr>
          </w:p>
          <w:p>
            <w:pPr>
              <w:ind w:firstLine="0"/>
              <w:jc w:val="center"/>
              <w:rPr>
                <w:lang w:val="uk-UA"/>
              </w:rPr>
            </w:pPr>
            <w:r>
              <w:rPr>
                <w:lang w:val="uk-UA"/>
              </w:rPr>
              <w:t>0</w:t>
            </w:r>
          </w:p>
        </w:tc>
        <w:tc>
          <w:tcPr>
            <w:tcW w:w="1558" w:type="dxa"/>
          </w:tcPr>
          <w:p>
            <w:pPr>
              <w:ind w:firstLine="0"/>
              <w:jc w:val="center"/>
              <w:rPr>
                <w:lang w:val="uk-UA"/>
              </w:rPr>
            </w:pPr>
          </w:p>
          <w:p>
            <w:pPr>
              <w:ind w:firstLine="0"/>
              <w:jc w:val="center"/>
              <w:rPr>
                <w:lang w:val="uk-UA"/>
              </w:rPr>
            </w:pPr>
            <w:r>
              <w:rPr>
                <w:lang w:val="uk-UA"/>
              </w:rPr>
              <w:t>60</w:t>
            </w:r>
          </w:p>
        </w:tc>
      </w:tr>
      <w:tr>
        <w:tc>
          <w:tcPr>
            <w:tcW w:w="1557" w:type="dxa"/>
          </w:tcPr>
          <w:p>
            <w:pPr>
              <w:ind w:firstLine="0"/>
              <w:jc w:val="left"/>
              <w:rPr>
                <w:lang w:val="uk-UA"/>
              </w:rPr>
            </w:pPr>
            <w:r>
              <w:rPr>
                <w:lang w:val="uk-UA"/>
              </w:rPr>
              <w:t>Питома вага групи у загальній кількості відсотків***</w:t>
            </w:r>
          </w:p>
          <w:p>
            <w:pPr>
              <w:ind w:firstLine="0"/>
              <w:jc w:val="left"/>
              <w:rPr>
                <w:lang w:val="uk-UA"/>
              </w:rPr>
            </w:pPr>
          </w:p>
        </w:tc>
        <w:tc>
          <w:tcPr>
            <w:tcW w:w="1557" w:type="dxa"/>
          </w:tcPr>
          <w:p>
            <w:pPr>
              <w:ind w:firstLine="0"/>
              <w:jc w:val="center"/>
              <w:rPr>
                <w:lang w:val="uk-UA"/>
              </w:rPr>
            </w:pPr>
          </w:p>
          <w:p>
            <w:pPr>
              <w:ind w:firstLine="0"/>
              <w:jc w:val="center"/>
              <w:rPr>
                <w:lang w:val="uk-UA"/>
              </w:rPr>
            </w:pPr>
            <w:r>
              <w:rPr>
                <w:lang w:val="uk-UA"/>
              </w:rPr>
              <w:t>0,01%</w:t>
            </w:r>
          </w:p>
          <w:p>
            <w:pPr>
              <w:ind w:firstLine="0"/>
              <w:jc w:val="center"/>
              <w:rPr>
                <w:lang w:val="uk-UA"/>
              </w:rPr>
            </w:pPr>
          </w:p>
          <w:p>
            <w:pPr>
              <w:ind w:firstLine="0"/>
              <w:jc w:val="center"/>
              <w:rPr>
                <w:lang w:val="uk-UA"/>
              </w:rPr>
            </w:pPr>
          </w:p>
        </w:tc>
        <w:tc>
          <w:tcPr>
            <w:tcW w:w="1557" w:type="dxa"/>
          </w:tcPr>
          <w:p>
            <w:pPr>
              <w:ind w:firstLine="0"/>
              <w:jc w:val="center"/>
              <w:rPr>
                <w:lang w:val="uk-UA"/>
              </w:rPr>
            </w:pPr>
          </w:p>
          <w:p>
            <w:pPr>
              <w:ind w:firstLine="0"/>
              <w:jc w:val="center"/>
              <w:rPr>
                <w:lang w:val="uk-UA"/>
              </w:rPr>
            </w:pPr>
            <w:r>
              <w:rPr>
                <w:lang w:val="uk-UA"/>
              </w:rPr>
              <w:t>0,03%</w:t>
            </w:r>
          </w:p>
          <w:p>
            <w:pPr>
              <w:ind w:firstLine="0"/>
              <w:jc w:val="center"/>
              <w:rPr>
                <w:lang w:val="uk-UA"/>
              </w:rPr>
            </w:pPr>
          </w:p>
          <w:p>
            <w:pPr>
              <w:ind w:firstLine="0"/>
              <w:jc w:val="center"/>
              <w:rPr>
                <w:lang w:val="uk-UA"/>
              </w:rPr>
            </w:pPr>
          </w:p>
        </w:tc>
        <w:tc>
          <w:tcPr>
            <w:tcW w:w="1558" w:type="dxa"/>
          </w:tcPr>
          <w:p>
            <w:pPr>
              <w:ind w:firstLine="0"/>
              <w:jc w:val="center"/>
              <w:rPr>
                <w:lang w:val="uk-UA"/>
              </w:rPr>
            </w:pPr>
          </w:p>
          <w:p>
            <w:pPr>
              <w:ind w:firstLine="0"/>
              <w:jc w:val="center"/>
              <w:rPr>
                <w:lang w:val="uk-UA"/>
              </w:rPr>
            </w:pPr>
            <w:r>
              <w:rPr>
                <w:lang w:val="uk-UA"/>
              </w:rPr>
              <w:t>0</w:t>
            </w:r>
          </w:p>
        </w:tc>
        <w:tc>
          <w:tcPr>
            <w:tcW w:w="1558" w:type="dxa"/>
          </w:tcPr>
          <w:p>
            <w:pPr>
              <w:ind w:firstLine="0"/>
              <w:jc w:val="center"/>
              <w:rPr>
                <w:lang w:val="uk-UA"/>
              </w:rPr>
            </w:pPr>
          </w:p>
          <w:p>
            <w:pPr>
              <w:ind w:firstLine="0"/>
              <w:jc w:val="center"/>
              <w:rPr>
                <w:lang w:val="uk-UA"/>
              </w:rPr>
            </w:pPr>
            <w:r>
              <w:rPr>
                <w:lang w:val="uk-UA"/>
              </w:rPr>
              <w:t>0</w:t>
            </w:r>
          </w:p>
        </w:tc>
        <w:tc>
          <w:tcPr>
            <w:tcW w:w="1558" w:type="dxa"/>
          </w:tcPr>
          <w:p>
            <w:pPr>
              <w:ind w:firstLine="0"/>
              <w:jc w:val="center"/>
              <w:rPr>
                <w:lang w:val="uk-UA"/>
              </w:rPr>
            </w:pPr>
          </w:p>
          <w:p>
            <w:pPr>
              <w:ind w:firstLine="0"/>
              <w:jc w:val="center"/>
              <w:rPr>
                <w:lang w:val="uk-UA"/>
              </w:rPr>
            </w:pPr>
            <w:r>
              <w:rPr>
                <w:lang w:val="uk-UA"/>
              </w:rPr>
              <w:t>0,04%</w:t>
            </w:r>
          </w:p>
        </w:tc>
      </w:tr>
    </w:tbl>
    <w:p>
      <w:pPr>
        <w:rPr>
          <w:lang w:val="uk-UA"/>
        </w:rPr>
      </w:pPr>
      <w:r>
        <w:rPr>
          <w:lang w:val="uk-UA"/>
        </w:rPr>
        <w:t>* Ураховуючи відсутність повноважень стосовно отримання інформації для того, щоб зробити висновок до якої саме категорії віднесені зазначені суб’єкти господарювання, використані загальні джерела інформації, відповідно до аналізу яких зроблено припущення, що вони всі віднесені до категорії великих суб’єктів господарювання.</w:t>
      </w:r>
    </w:p>
    <w:p>
      <w:pPr>
        <w:rPr>
          <w:lang w:val="uk-UA"/>
        </w:rPr>
      </w:pPr>
      <w:r>
        <w:rPr>
          <w:lang w:val="uk-UA"/>
        </w:rPr>
        <w:t>** Кількість суб’єктів господарювання, які станом на 15.10.2023 року виконують функції уповноважених установ, яким Комісія делегувала повноваження із проведення іспитів для визначення рівня володіння державною мовою та/або перевірки результатів складення таких іспитів.</w:t>
      </w:r>
    </w:p>
    <w:p>
      <w:pPr>
        <w:rPr>
          <w:lang w:val="uk-UA"/>
        </w:rPr>
      </w:pPr>
      <w:r>
        <w:rPr>
          <w:lang w:val="uk-UA"/>
        </w:rPr>
        <w:t>*** Кількість суб’єктів господарювання, які зможуть претендувати на призначення уповноваженою установою, встановлена на основі даних Державної служби статистики України (</w:t>
      </w:r>
      <w:hyperlink xmlns:r="http://schemas.openxmlformats.org/officeDocument/2006/relationships" r:id="R2">
        <w:r>
          <w:rPr>
            <w:rStyle w:val="C2"/>
            <w:lang w:val="uk-UA"/>
          </w:rPr>
          <w:t>https://www.ukrstat.gov.ua/</w:t>
        </w:r>
      </w:hyperlink>
      <w:r>
        <w:rPr>
          <w:lang w:val="uk-UA"/>
        </w:rPr>
        <w:t>).</w:t>
      </w:r>
    </w:p>
    <w:p>
      <w:pPr>
        <w:rPr>
          <w:lang w:val="uk-UA"/>
        </w:rPr>
      </w:pPr>
    </w:p>
    <w:p>
      <w:pPr>
        <w:ind w:firstLine="709"/>
        <w:rPr>
          <w:lang w:val="uk-UA"/>
        </w:rPr>
      </w:pPr>
      <w:r>
        <w:rPr>
          <w:lang w:val="uk-UA"/>
        </w:rPr>
        <w:t>Комісія компенсуватиме уповноваженим установам витрати із надання послуг з проведення іспитів на визначення рівня володіння державною мовою та / або перевірки результатів складення таких іспитів відповідно до договорів, укладених між Комісією та уповноваженою установою.</w:t>
      </w:r>
    </w:p>
    <w:tbl>
      <w:tblPr>
        <w:tblStyle w:val="T2"/>
        <w:tblW w:w="0" w:type="auto"/>
        <w:tblLook w:val="04A0"/>
      </w:tblPr>
      <w:tblGrid/>
      <w:tr>
        <w:tc>
          <w:tcPr>
            <w:tcW w:w="3115" w:type="dxa"/>
          </w:tcPr>
          <w:p>
            <w:pPr>
              <w:ind w:firstLine="0"/>
              <w:rPr>
                <w:lang w:val="uk-UA"/>
              </w:rPr>
            </w:pPr>
            <w:r>
              <w:rPr>
                <w:lang w:val="uk-UA"/>
              </w:rPr>
              <w:t>Вид альтернативи</w:t>
            </w:r>
          </w:p>
        </w:tc>
        <w:tc>
          <w:tcPr>
            <w:tcW w:w="3115" w:type="dxa"/>
          </w:tcPr>
          <w:p>
            <w:pPr>
              <w:ind w:firstLine="0"/>
              <w:rPr>
                <w:lang w:val="uk-UA"/>
              </w:rPr>
            </w:pPr>
            <w:r>
              <w:rPr>
                <w:lang w:val="uk-UA"/>
              </w:rPr>
              <w:t>Вигоди</w:t>
            </w:r>
          </w:p>
        </w:tc>
        <w:tc>
          <w:tcPr>
            <w:tcW w:w="3115" w:type="dxa"/>
          </w:tcPr>
          <w:p>
            <w:pPr>
              <w:ind w:firstLine="0"/>
              <w:rPr>
                <w:lang w:val="uk-UA"/>
              </w:rPr>
            </w:pPr>
            <w:r>
              <w:rPr>
                <w:lang w:val="uk-UA"/>
              </w:rPr>
              <w:t>Витрати</w:t>
            </w:r>
          </w:p>
        </w:tc>
      </w:tr>
      <w:tr>
        <w:tc>
          <w:tcPr>
            <w:tcW w:w="3115" w:type="dxa"/>
          </w:tcPr>
          <w:p>
            <w:pPr>
              <w:ind w:firstLine="0"/>
              <w:rPr>
                <w:lang w:val="uk-UA"/>
              </w:rPr>
            </w:pPr>
            <w:r>
              <w:rPr>
                <w:lang w:val="uk-UA"/>
              </w:rPr>
              <w:t>Альтернатива 1</w:t>
            </w:r>
          </w:p>
        </w:tc>
        <w:tc>
          <w:tcPr>
            <w:tcW w:w="3115" w:type="dxa"/>
          </w:tcPr>
          <w:p>
            <w:pPr>
              <w:ind w:firstLine="0"/>
              <w:rPr>
                <w:lang w:val="uk-UA"/>
              </w:rPr>
            </w:pPr>
            <w:r>
              <w:rPr>
                <w:lang w:val="uk-UA"/>
              </w:rPr>
              <w:t>Відсутні</w:t>
            </w:r>
          </w:p>
        </w:tc>
        <w:tc>
          <w:tcPr>
            <w:tcW w:w="3115" w:type="dxa"/>
          </w:tcPr>
          <w:p>
            <w:pPr>
              <w:ind w:firstLine="0"/>
              <w:rPr>
                <w:lang w:val="uk-UA"/>
              </w:rPr>
            </w:pPr>
            <w:r>
              <w:rPr>
                <w:lang w:val="uk-UA"/>
              </w:rPr>
              <w:t>Неврегульовані нормативним актами питання про обов’язкову наявність укриттів цивільного захисту, обладнаних відповідно до вимог чинного законодавства, не сприятиме забезпеченню прав громадян на захист в умовах воєнного стану.</w:t>
            </w:r>
          </w:p>
          <w:p>
            <w:pPr>
              <w:ind w:firstLine="0"/>
              <w:rPr>
                <w:lang w:val="uk-UA"/>
              </w:rPr>
            </w:pPr>
            <w:r>
              <w:rPr>
                <w:lang w:val="uk-UA"/>
              </w:rPr>
              <w:t>Відсутність вимог щодо забезпечення рівних прав осіб з інвалідністю призводить до порушення прав таких осіб.</w:t>
            </w:r>
          </w:p>
          <w:p>
            <w:pPr>
              <w:ind w:firstLine="0"/>
              <w:rPr>
                <w:lang w:val="uk-UA"/>
              </w:rPr>
            </w:pPr>
            <w:r>
              <w:rPr>
                <w:lang w:val="uk-UA"/>
              </w:rPr>
              <w:t>Обмежене коло уповноважених установ, яким Комісія делегувала повноваження із проведення іспитів на визначення рівня володіння державною мовою, звужує можливості громадян на право складення іспиту на рівень володіння державною мовою.</w:t>
            </w:r>
          </w:p>
        </w:tc>
      </w:tr>
      <w:tr>
        <w:tc>
          <w:tcPr>
            <w:tcW w:w="3115" w:type="dxa"/>
          </w:tcPr>
          <w:p>
            <w:pPr>
              <w:ind w:firstLine="0"/>
              <w:rPr>
                <w:lang w:val="uk-UA"/>
              </w:rPr>
            </w:pPr>
            <w:r>
              <w:rPr>
                <w:lang w:val="uk-UA"/>
              </w:rPr>
              <w:t>Альтернатива 2</w:t>
            </w:r>
          </w:p>
        </w:tc>
        <w:tc>
          <w:tcPr>
            <w:tcW w:w="3115" w:type="dxa"/>
          </w:tcPr>
          <w:p>
            <w:pPr>
              <w:ind w:firstLine="0"/>
              <w:rPr>
                <w:lang w:val="uk-UA"/>
              </w:rPr>
            </w:pPr>
            <w:r>
              <w:rPr>
                <w:lang w:val="uk-UA"/>
              </w:rPr>
              <w:t>Прийняття проєкту рішення забезпечить:</w:t>
            </w:r>
          </w:p>
          <w:p>
            <w:pPr>
              <w:ind w:firstLine="0"/>
              <w:rPr>
                <w:lang w:val="uk-UA"/>
              </w:rPr>
            </w:pPr>
            <w:r>
              <w:rPr>
                <w:lang w:val="uk-UA"/>
              </w:rPr>
              <w:t>‒ усунення прогалин щодо вимог у наявності укриттів цивільного захисту в умовах воєнного стану;</w:t>
            </w:r>
          </w:p>
          <w:p>
            <w:pPr>
              <w:ind w:firstLine="0"/>
              <w:rPr>
                <w:lang w:val="uk-UA"/>
              </w:rPr>
            </w:pPr>
            <w:r>
              <w:rPr>
                <w:lang w:val="uk-UA"/>
              </w:rPr>
              <w:t>‒ розширення потенційного кола уповноважених установ з метою забезпечення прав громадян на складення іспиту на рівень володіння державною мовою;</w:t>
            </w:r>
          </w:p>
          <w:p>
            <w:pPr>
              <w:ind w:firstLine="0"/>
              <w:rPr>
                <w:lang w:val="uk-UA"/>
              </w:rPr>
            </w:pPr>
            <w:r>
              <w:rPr>
                <w:lang w:val="uk-UA"/>
              </w:rPr>
              <w:t>‒ підвищення рівня забезпечення прав осіб з інвалідністю на рівний доступ до місць проведення іспитів;</w:t>
            </w:r>
          </w:p>
          <w:p>
            <w:pPr>
              <w:ind w:firstLine="0"/>
              <w:rPr>
                <w:lang w:val="uk-UA"/>
              </w:rPr>
            </w:pPr>
            <w:r>
              <w:rPr>
                <w:lang w:val="uk-UA"/>
              </w:rPr>
              <w:t>‒ недопущення порушень доброчесності з боку уповноважених установ, яким Комісія делегує повноваження з проведення іспитів на визначення рівня володіння державною мовою;</w:t>
            </w:r>
          </w:p>
          <w:p>
            <w:pPr>
              <w:ind w:firstLine="0"/>
              <w:rPr>
                <w:lang w:val="uk-UA"/>
              </w:rPr>
            </w:pPr>
            <w:r>
              <w:rPr>
                <w:lang w:val="uk-UA"/>
              </w:rPr>
              <w:t>‒ підвищення рівня організації проведення іспитів.</w:t>
            </w:r>
          </w:p>
        </w:tc>
        <w:tc>
          <w:tcPr>
            <w:tcW w:w="3115" w:type="dxa"/>
          </w:tcPr>
          <w:p>
            <w:pPr>
              <w:ind w:firstLine="0"/>
              <w:rPr>
                <w:lang w:val="uk-UA"/>
              </w:rPr>
            </w:pPr>
            <w:r>
              <w:rPr>
                <w:lang w:val="uk-UA"/>
              </w:rPr>
              <w:t>У разі прийняття рішення Комісія матиме можливість делегувати повноваження з проведення іспитів на півень володіння державною мовою тим установам, організаціям, підприємствам, які вже відповідають технічним вимогам.</w:t>
            </w:r>
          </w:p>
          <w:p>
            <w:pPr>
              <w:ind w:firstLine="0"/>
              <w:rPr>
                <w:lang w:val="uk-UA"/>
              </w:rPr>
            </w:pPr>
            <w:r>
              <w:rPr>
                <w:lang w:val="uk-UA"/>
              </w:rPr>
              <w:t>Приведення технічних вимог у відповідність до вимог в тих уповноважених установах, які вже є такими, буде позитивним чинником, оскільки вимоги щодо наявних укриттів, так само, як і вимоги для забезпечення рівних прав осіб з інвалідністю, є необхідними і для закладів вищої освіти, з якими Комісія вже співпрацює як з уповноваженими установами.</w:t>
            </w:r>
          </w:p>
        </w:tc>
      </w:tr>
    </w:tbl>
    <w:p>
      <w:pPr>
        <w:rPr>
          <w:lang w:val="uk-UA"/>
        </w:rPr>
      </w:pPr>
    </w:p>
    <w:p>
      <w:pPr>
        <w:ind w:firstLine="709"/>
        <w:rPr>
          <w:b w:val="1"/>
          <w:bCs w:val="1"/>
          <w:lang w:val="uk-UA"/>
        </w:rPr>
      </w:pPr>
      <w:r>
        <w:rPr>
          <w:b w:val="1"/>
          <w:bCs w:val="1"/>
          <w:lang w:val="uk-UA"/>
        </w:rPr>
        <w:t>4. Вибір оптимального альтернативного способу досягнення цілей</w:t>
      </w:r>
    </w:p>
    <w:p>
      <w:pPr>
        <w:ind w:firstLine="709"/>
        <w:rPr>
          <w:lang w:val="uk-UA"/>
        </w:rPr>
      </w:pPr>
    </w:p>
    <w:p>
      <w:pPr>
        <w:ind w:firstLine="709"/>
        <w:rPr>
          <w:lang w:val="uk-UA"/>
        </w:rPr>
      </w:pPr>
      <w:r>
        <w:rPr>
          <w:lang w:val="uk-UA"/>
        </w:rPr>
        <w:t>Вартість балів оптимального альтернативного способу визначається за чотирибальною системою оцінки ступеня досягнення визначених цілей, де:</w:t>
      </w:r>
    </w:p>
    <w:p>
      <w:pPr>
        <w:ind w:firstLine="709"/>
        <w:rPr>
          <w:lang w:val="uk-UA"/>
        </w:rPr>
      </w:pPr>
      <w:r>
        <w:rPr>
          <w:lang w:val="uk-UA"/>
        </w:rPr>
        <w:t>4 ‒ цілі прийняття регуляторного акта, які можуть бути досягнуті повною мірою (проблема більше існувати не буде);</w:t>
      </w:r>
    </w:p>
    <w:p>
      <w:pPr>
        <w:ind w:firstLine="709"/>
        <w:rPr>
          <w:lang w:val="uk-UA"/>
        </w:rPr>
      </w:pPr>
      <w:r>
        <w:rPr>
          <w:lang w:val="uk-UA"/>
        </w:rPr>
        <w:t>3 ‒ цілі прийняття регуляторного акта, які можуть бути досягнуті майже повною мірою (усі важливі аспекти проблеми будуть усунуті);</w:t>
      </w:r>
    </w:p>
    <w:p>
      <w:pPr>
        <w:ind w:firstLine="709"/>
        <w:rPr>
          <w:lang w:val="uk-UA"/>
        </w:rPr>
      </w:pPr>
      <w:r>
        <w:rPr>
          <w:lang w:val="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pPr>
        <w:ind w:firstLine="709"/>
        <w:rPr>
          <w:lang w:val="uk-UA"/>
        </w:rPr>
      </w:pPr>
      <w:r>
        <w:rPr>
          <w:lang w:val="uk-UA"/>
        </w:rPr>
        <w:t>1 ‒ цілі прийняття регуляторного акта, які не можуть бути досягнуті (проблема продовжує існувати).</w:t>
      </w:r>
    </w:p>
    <w:p>
      <w:pPr>
        <w:rPr>
          <w:lang w:val="uk-UA"/>
        </w:rPr>
      </w:pPr>
    </w:p>
    <w:tbl>
      <w:tblPr>
        <w:tblStyle w:val="T2"/>
        <w:tblW w:w="0" w:type="auto"/>
        <w:tblLook w:val="04A0"/>
      </w:tblPr>
      <w:tblGrid/>
      <w:tr>
        <w:tc>
          <w:tcPr>
            <w:tcW w:w="3115" w:type="dxa"/>
          </w:tcPr>
          <w:p>
            <w:pPr>
              <w:ind w:firstLine="0"/>
              <w:rPr>
                <w:lang w:val="uk-UA"/>
              </w:rPr>
            </w:pPr>
            <w:r>
              <w:rPr>
                <w:lang w:val="uk-UA"/>
              </w:rPr>
              <w:t>Рейтинг результативності (досягнення цілей під час вирішення проблеми)</w:t>
            </w:r>
          </w:p>
        </w:tc>
        <w:tc>
          <w:tcPr>
            <w:tcW w:w="3115" w:type="dxa"/>
          </w:tcPr>
          <w:p>
            <w:pPr>
              <w:ind w:firstLine="0"/>
              <w:rPr>
                <w:lang w:val="uk-UA"/>
              </w:rPr>
            </w:pPr>
            <w:r>
              <w:rPr>
                <w:lang w:val="uk-UA"/>
              </w:rPr>
              <w:t>Бал результативності (за чотирибальною системою оцінки)</w:t>
            </w:r>
          </w:p>
        </w:tc>
        <w:tc>
          <w:tcPr>
            <w:tcW w:w="3115" w:type="dxa"/>
          </w:tcPr>
          <w:p>
            <w:pPr>
              <w:ind w:firstLine="0"/>
              <w:rPr>
                <w:lang w:val="uk-UA"/>
              </w:rPr>
            </w:pPr>
            <w:r>
              <w:rPr>
                <w:lang w:val="uk-UA"/>
              </w:rPr>
              <w:t>Коментарі щодо присвоєння відповідного бала</w:t>
            </w:r>
          </w:p>
        </w:tc>
      </w:tr>
      <w:tr>
        <w:tc>
          <w:tcPr>
            <w:tcW w:w="3115" w:type="dxa"/>
          </w:tcPr>
          <w:p>
            <w:pPr>
              <w:ind w:firstLine="0"/>
              <w:rPr>
                <w:lang w:val="uk-UA"/>
              </w:rPr>
            </w:pPr>
            <w:r>
              <w:rPr>
                <w:lang w:val="uk-UA"/>
              </w:rPr>
              <w:t>Альтернатива 1</w:t>
            </w:r>
          </w:p>
        </w:tc>
        <w:tc>
          <w:tcPr>
            <w:tcW w:w="3115" w:type="dxa"/>
          </w:tcPr>
          <w:p>
            <w:pPr>
              <w:ind w:firstLine="0"/>
              <w:rPr>
                <w:lang w:val="uk-UA"/>
              </w:rPr>
            </w:pPr>
            <w:r>
              <w:rPr>
                <w:lang w:val="uk-UA"/>
              </w:rPr>
              <w:t>1</w:t>
            </w:r>
          </w:p>
        </w:tc>
        <w:tc>
          <w:tcPr>
            <w:tcW w:w="3115" w:type="dxa"/>
          </w:tcPr>
          <w:p>
            <w:pPr>
              <w:ind w:firstLine="0"/>
              <w:rPr>
                <w:lang w:val="uk-UA"/>
              </w:rPr>
            </w:pPr>
            <w:r>
              <w:rPr>
                <w:lang w:val="uk-UA"/>
              </w:rPr>
              <w:t>У разі відсутності змін до Порядку призначення уповноважених установ залишаться невирішеними питання обов’язковою наявності укриттів, обладнаних відповідно до норм чинного законодавства. Неврегульованими залишаться також питання, пов’язані із забезпеченням прав осіб з інвалідністю.</w:t>
            </w:r>
          </w:p>
          <w:p>
            <w:pPr>
              <w:ind w:firstLine="0"/>
              <w:rPr>
                <w:lang w:val="uk-UA"/>
              </w:rPr>
            </w:pPr>
            <w:r>
              <w:rPr>
                <w:lang w:val="uk-UA"/>
              </w:rPr>
              <w:t>Звужене коло уповноважених установ може призвести у найближчий час до гострого дефіциту місць для складання іспиту на рівень володіння державною мовою</w:t>
            </w:r>
          </w:p>
        </w:tc>
      </w:tr>
      <w:tr>
        <w:tc>
          <w:tcPr>
            <w:tcW w:w="3115" w:type="dxa"/>
          </w:tcPr>
          <w:p>
            <w:pPr>
              <w:ind w:firstLine="0"/>
              <w:rPr>
                <w:lang w:val="uk-UA"/>
              </w:rPr>
            </w:pPr>
            <w:r>
              <w:rPr>
                <w:lang w:val="uk-UA"/>
              </w:rPr>
              <w:t xml:space="preserve">Альтернатива 2 </w:t>
            </w:r>
          </w:p>
        </w:tc>
        <w:tc>
          <w:tcPr>
            <w:tcW w:w="3115" w:type="dxa"/>
          </w:tcPr>
          <w:p>
            <w:pPr>
              <w:ind w:firstLine="0"/>
              <w:rPr>
                <w:lang w:val="uk-UA"/>
              </w:rPr>
            </w:pPr>
            <w:r>
              <w:rPr>
                <w:lang w:val="uk-UA"/>
              </w:rPr>
              <w:t>3</w:t>
            </w:r>
          </w:p>
        </w:tc>
        <w:tc>
          <w:tcPr>
            <w:tcW w:w="3115" w:type="dxa"/>
          </w:tcPr>
          <w:p>
            <w:pPr>
              <w:ind w:firstLine="0"/>
              <w:rPr>
                <w:lang w:val="uk-UA"/>
              </w:rPr>
            </w:pPr>
            <w:r>
              <w:rPr>
                <w:lang w:val="uk-UA"/>
              </w:rPr>
              <w:t>У разі прийняття змін до порядку призначення уповноважених установ будуть врегульовані питання обов’язкової наявності обладнаних відповідно до норм чинного законодавства укриттів цивільного захисту населення.</w:t>
            </w:r>
          </w:p>
          <w:p>
            <w:pPr>
              <w:ind w:firstLine="0"/>
              <w:rPr>
                <w:lang w:val="uk-UA"/>
              </w:rPr>
            </w:pPr>
            <w:r>
              <w:rPr>
                <w:lang w:val="uk-UA"/>
              </w:rPr>
              <w:t>Зміни до Порядку призначення уповноважених установ дозволять залучити до процесу проведення іспитів такі організації, підприємства, які відповідають вимогам щодо забезпечення доступу до послуг осіб з інвалідністю.</w:t>
            </w:r>
          </w:p>
          <w:p>
            <w:pPr>
              <w:ind w:firstLine="0"/>
              <w:rPr>
                <w:lang w:val="uk-UA"/>
              </w:rPr>
            </w:pPr>
            <w:r>
              <w:rPr>
                <w:lang w:val="uk-UA"/>
              </w:rPr>
              <w:t>Розширення кола уповноважених установ дозволить збільшити кількість місць для проведення іспитів на визначення рівня володіння державною мовою в різних регіонах України, зокрема тих, в яких станом на сьогодні такі функції не можуть виконувати заклади освіти.</w:t>
            </w:r>
          </w:p>
          <w:p>
            <w:pPr>
              <w:ind w:firstLine="0"/>
              <w:rPr>
                <w:lang w:val="uk-UA"/>
              </w:rPr>
            </w:pPr>
            <w:r>
              <w:rPr>
                <w:lang w:val="uk-UA"/>
              </w:rPr>
              <w:t>Проблеми, зазначені у розділі 1 АРВ будуть врегульовані, а цілі досягнуті.</w:t>
            </w:r>
          </w:p>
        </w:tc>
      </w:tr>
    </w:tbl>
    <w:p>
      <w:pPr>
        <w:rPr>
          <w:lang w:val="uk-UA"/>
        </w:rPr>
      </w:pPr>
    </w:p>
    <w:tbl>
      <w:tblPr>
        <w:tblStyle w:val="T2"/>
        <w:tblW w:w="0" w:type="auto"/>
        <w:tblLook w:val="04A0"/>
      </w:tblPr>
      <w:tblGrid/>
      <w:tr>
        <w:tc>
          <w:tcPr>
            <w:tcW w:w="2336" w:type="dxa"/>
          </w:tcPr>
          <w:p>
            <w:pPr>
              <w:ind w:firstLine="0"/>
              <w:rPr>
                <w:lang w:val="uk-UA"/>
              </w:rPr>
            </w:pPr>
            <w:r>
              <w:rPr>
                <w:lang w:val="uk-UA"/>
              </w:rPr>
              <w:t>Рейтинг результативнос-ті</w:t>
            </w:r>
          </w:p>
        </w:tc>
        <w:tc>
          <w:tcPr>
            <w:tcW w:w="2336" w:type="dxa"/>
          </w:tcPr>
          <w:p>
            <w:pPr>
              <w:ind w:firstLine="0"/>
              <w:rPr>
                <w:lang w:val="uk-UA"/>
              </w:rPr>
            </w:pPr>
            <w:r>
              <w:rPr>
                <w:lang w:val="uk-UA"/>
              </w:rPr>
              <w:t>Вигоди (підсумок)</w:t>
            </w:r>
          </w:p>
        </w:tc>
        <w:tc>
          <w:tcPr>
            <w:tcW w:w="2336" w:type="dxa"/>
          </w:tcPr>
          <w:p>
            <w:pPr>
              <w:ind w:firstLine="0"/>
              <w:rPr>
                <w:lang w:val="uk-UA"/>
              </w:rPr>
            </w:pPr>
            <w:r>
              <w:rPr>
                <w:lang w:val="uk-UA"/>
              </w:rPr>
              <w:t>Витрати (підсумок)</w:t>
            </w:r>
          </w:p>
        </w:tc>
        <w:tc>
          <w:tcPr>
            <w:tcW w:w="2337" w:type="dxa"/>
          </w:tcPr>
          <w:p>
            <w:pPr>
              <w:ind w:firstLine="0"/>
              <w:rPr>
                <w:lang w:val="uk-UA"/>
              </w:rPr>
            </w:pPr>
            <w:r>
              <w:rPr>
                <w:lang w:val="uk-UA"/>
              </w:rPr>
              <w:t>Обґрунтування відповідного місця альтернативи у рейтингу</w:t>
            </w:r>
          </w:p>
        </w:tc>
      </w:tr>
      <w:tr>
        <w:tc>
          <w:tcPr>
            <w:tcW w:w="2336" w:type="dxa"/>
          </w:tcPr>
          <w:p>
            <w:pPr>
              <w:ind w:firstLine="0"/>
              <w:rPr>
                <w:lang w:val="uk-UA"/>
              </w:rPr>
            </w:pPr>
            <w:r>
              <w:rPr>
                <w:lang w:val="uk-UA"/>
              </w:rPr>
              <w:t>Альтернатива 1</w:t>
            </w:r>
          </w:p>
        </w:tc>
        <w:tc>
          <w:tcPr>
            <w:tcW w:w="2336" w:type="dxa"/>
          </w:tcPr>
          <w:p>
            <w:pPr>
              <w:ind w:firstLine="0"/>
              <w:rPr>
                <w:b w:val="1"/>
                <w:lang w:val="uk-UA"/>
              </w:rPr>
            </w:pPr>
            <w:r>
              <w:rPr>
                <w:b w:val="1"/>
                <w:lang w:val="uk-UA"/>
              </w:rPr>
              <w:t>Для держави:</w:t>
            </w:r>
          </w:p>
          <w:p>
            <w:pPr>
              <w:ind w:firstLine="0"/>
              <w:rPr>
                <w:lang w:val="uk-UA"/>
              </w:rPr>
            </w:pPr>
            <w:r>
              <w:rPr>
                <w:lang w:val="uk-UA"/>
              </w:rPr>
              <w:t>Відсутні</w:t>
            </w: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b w:val="1"/>
                <w:lang w:val="uk-UA"/>
              </w:rPr>
            </w:pPr>
            <w:r>
              <w:rPr>
                <w:b w:val="1"/>
                <w:lang w:val="uk-UA"/>
              </w:rPr>
              <w:t>Для суб’єктів господарювання:</w:t>
            </w:r>
          </w:p>
          <w:p>
            <w:pPr>
              <w:ind w:firstLine="0"/>
              <w:rPr>
                <w:lang w:val="uk-UA"/>
              </w:rPr>
            </w:pPr>
            <w:r>
              <w:rPr>
                <w:lang w:val="uk-UA"/>
              </w:rPr>
              <w:t>Відсутні</w:t>
            </w:r>
          </w:p>
        </w:tc>
        <w:tc>
          <w:tcPr>
            <w:tcW w:w="2336" w:type="dxa"/>
          </w:tcPr>
          <w:p>
            <w:pPr>
              <w:ind w:firstLine="0"/>
              <w:rPr>
                <w:b w:val="1"/>
                <w:lang w:val="uk-UA"/>
              </w:rPr>
            </w:pPr>
            <w:r>
              <w:rPr>
                <w:b w:val="1"/>
                <w:lang w:val="uk-UA"/>
              </w:rPr>
              <w:t>Для держави:</w:t>
            </w:r>
          </w:p>
          <w:p>
            <w:pPr>
              <w:ind w:firstLine="0"/>
              <w:rPr>
                <w:lang w:val="uk-UA"/>
              </w:rPr>
            </w:pPr>
            <w:r>
              <w:rPr>
                <w:lang w:val="uk-UA"/>
              </w:rPr>
              <w:t xml:space="preserve">Залишення наявної ситуації без змін  призведе до того, що залишаться неврегульованими питання наявності укриттів цивільного захисту, обладнаних відповідно до норм чинного законодавства, в уповноважених установах, яким Комісія делегує повноваження щодо проведення іспитів на визначення рівня володіння державною мовою.</w:t>
            </w:r>
          </w:p>
          <w:p>
            <w:pPr>
              <w:ind w:firstLine="0"/>
              <w:rPr>
                <w:lang w:val="uk-UA"/>
              </w:rPr>
            </w:pPr>
            <w:r>
              <w:rPr>
                <w:lang w:val="uk-UA"/>
              </w:rPr>
              <w:t>Неврегульованими залишаться питання забезпечення прав осіб з інвалідністю на складання іспитів.</w:t>
            </w:r>
          </w:p>
          <w:p>
            <w:pPr>
              <w:ind w:firstLine="0"/>
              <w:rPr>
                <w:lang w:val="uk-UA"/>
              </w:rPr>
            </w:pPr>
            <w:r>
              <w:rPr>
                <w:lang w:val="uk-UA"/>
              </w:rPr>
              <w:t>Це може мати репутаційні наслідки для Комісії як ЦОВВ зі спеціальним статусом, а отже для авторитету системи органів влади загалом.</w:t>
            </w: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b w:val="1"/>
                <w:lang w:val="uk-UA"/>
              </w:rPr>
            </w:pPr>
            <w:r>
              <w:rPr>
                <w:b w:val="1"/>
                <w:lang w:val="uk-UA"/>
              </w:rPr>
              <w:t>Для суб’єктів господарювання:</w:t>
            </w:r>
          </w:p>
          <w:p>
            <w:pPr>
              <w:ind w:firstLine="0"/>
              <w:rPr>
                <w:lang w:val="uk-UA"/>
              </w:rPr>
            </w:pPr>
            <w:r>
              <w:rPr>
                <w:lang w:val="uk-UA"/>
              </w:rPr>
              <w:t>Залишення ситуації без змін може призвести до того, що не будуть забезпечені права громадян, зокрема, осіб з інвалідністю, оскільки чинні станом на сьогодні правила призначення уповноважених установ не дозволяють призначити такими уповноваженими установами організації, підприємства, які вже обладнані укриттями цивільного захисту населення, відповідають вимогам щодо доступності для осіб з інвалідністю.</w:t>
            </w:r>
          </w:p>
        </w:tc>
        <w:tc>
          <w:tcPr>
            <w:tcW w:w="2337" w:type="dxa"/>
          </w:tcPr>
          <w:p>
            <w:pPr>
              <w:ind w:firstLine="0"/>
              <w:rPr>
                <w:lang w:val="uk-UA"/>
              </w:rPr>
            </w:pPr>
            <w:r>
              <w:rPr>
                <w:lang w:val="uk-UA"/>
              </w:rPr>
              <w:t>В інший спосіб врегулювати питання щодо призначення уповноваженими установами, яким Комісія делегує повноваження щодо проведення іспитів, таких організацій, закладів, підприємств, які мають укриття цивільного захисту, є неможливим.</w:t>
            </w:r>
          </w:p>
          <w:p>
            <w:pPr>
              <w:ind w:firstLine="0"/>
              <w:rPr>
                <w:lang w:val="uk-UA"/>
              </w:rPr>
            </w:pPr>
            <w:r>
              <w:rPr>
                <w:lang w:val="uk-UA"/>
              </w:rPr>
              <w:t>Відсутність закріплених норм щодо забезпечення прав осіб з інвалідністю може й надалі спричиняти ситуації порушення прав осіб з інвалідністю.</w:t>
            </w:r>
          </w:p>
          <w:p>
            <w:pPr>
              <w:ind w:firstLine="0"/>
              <w:rPr>
                <w:lang w:val="uk-UA"/>
              </w:rPr>
            </w:pPr>
            <w:r>
              <w:rPr>
                <w:lang w:val="uk-UA"/>
              </w:rPr>
              <w:t>Наявні станом на сьогодні правила унеможливлю-ють розширення мережі установ, підприємств, організацій, яким Комісія може делегувати повноваження із проведення іспитів на визначення рівня володіння державною мовою.</w:t>
            </w:r>
          </w:p>
        </w:tc>
      </w:tr>
      <w:tr>
        <w:tc>
          <w:tcPr>
            <w:tcW w:w="2336" w:type="dxa"/>
          </w:tcPr>
          <w:p>
            <w:pPr>
              <w:ind w:firstLine="0"/>
              <w:rPr>
                <w:lang w:val="uk-UA"/>
              </w:rPr>
            </w:pPr>
            <w:r>
              <w:rPr>
                <w:lang w:val="uk-UA"/>
              </w:rPr>
              <w:t>Альтернатива 2</w:t>
            </w:r>
          </w:p>
        </w:tc>
        <w:tc>
          <w:tcPr>
            <w:tcW w:w="2336" w:type="dxa"/>
          </w:tcPr>
          <w:p>
            <w:pPr>
              <w:ind w:firstLine="0"/>
              <w:rPr>
                <w:b w:val="1"/>
                <w:lang w:val="uk-UA"/>
              </w:rPr>
            </w:pPr>
            <w:r>
              <w:rPr>
                <w:b w:val="1"/>
                <w:lang w:val="uk-UA"/>
              </w:rPr>
              <w:t>Для держави:</w:t>
            </w:r>
          </w:p>
          <w:p>
            <w:pPr>
              <w:ind w:firstLine="0"/>
              <w:rPr>
                <w:lang w:val="uk-UA"/>
              </w:rPr>
            </w:pPr>
            <w:r>
              <w:rPr>
                <w:lang w:val="uk-UA"/>
              </w:rPr>
              <w:t>Прийняття регуляторного акта забезпечить:</w:t>
            </w:r>
          </w:p>
          <w:p>
            <w:pPr>
              <w:ind w:firstLine="0"/>
              <w:rPr>
                <w:lang w:val="uk-UA"/>
              </w:rPr>
            </w:pPr>
            <w:r>
              <w:rPr>
                <w:lang w:val="uk-UA"/>
              </w:rPr>
              <w:t>‒ можливість призначення уповноваженими установами, яким Комісія делегує повноваження з проведення іспитів, таких організацій, підприємств та установ, в яких обладнані укриття цивільного захисту населення відповідно до вимог чинного законодавства;</w:t>
            </w:r>
          </w:p>
          <w:p>
            <w:pPr>
              <w:ind w:firstLine="0"/>
              <w:rPr>
                <w:lang w:val="uk-UA"/>
              </w:rPr>
            </w:pPr>
            <w:r>
              <w:rPr>
                <w:lang w:val="uk-UA"/>
              </w:rPr>
              <w:t>‒ дотримання прав осіб з інвалідністю;</w:t>
            </w:r>
          </w:p>
          <w:p>
            <w:pPr>
              <w:ind w:firstLine="0"/>
              <w:rPr>
                <w:lang w:val="uk-UA"/>
              </w:rPr>
            </w:pPr>
            <w:r>
              <w:rPr>
                <w:lang w:val="uk-UA"/>
              </w:rPr>
              <w:t>‒ розширення мережі уповноважених установ для забезпечення прав громадян та іноземців, що хочуть набути громадянство України.</w:t>
            </w:r>
          </w:p>
          <w:p>
            <w:pPr>
              <w:ind w:firstLine="0"/>
              <w:rPr>
                <w:lang w:val="uk-UA"/>
              </w:rPr>
            </w:pPr>
          </w:p>
          <w:p>
            <w:pPr>
              <w:ind w:firstLine="0"/>
              <w:rPr>
                <w:b w:val="1"/>
                <w:lang w:val="uk-UA"/>
              </w:rPr>
            </w:pPr>
            <w:r>
              <w:rPr>
                <w:b w:val="1"/>
                <w:lang w:val="uk-UA"/>
              </w:rPr>
              <w:t>Для суб’єктів господарювання:</w:t>
            </w:r>
          </w:p>
          <w:p>
            <w:pPr>
              <w:ind w:firstLine="0"/>
              <w:rPr>
                <w:lang w:val="uk-UA"/>
              </w:rPr>
            </w:pPr>
            <w:r>
              <w:rPr>
                <w:lang w:val="uk-UA"/>
              </w:rPr>
              <w:t>Прийняття змін до порядку призначення уповноважених установ забезпечить:</w:t>
            </w:r>
          </w:p>
          <w:p>
            <w:pPr>
              <w:ind w:firstLine="0"/>
              <w:rPr>
                <w:lang w:val="uk-UA"/>
              </w:rPr>
            </w:pPr>
            <w:r>
              <w:rPr>
                <w:lang w:val="uk-UA"/>
              </w:rPr>
              <w:t>‒ можливість розширити мережу таких установ за рахунок тих підприємств, організацій, установ, які відповідають вимогам щодо укриттів цивільного захисту, рівного доступу осіб з інвалідністю, дозволить залучати до процедури перевірки результатів іспитів на визначення рівня володіння державною мовою фізичних осіб-підприємців, які сплачуватимуть податки та відрахування.</w:t>
            </w:r>
          </w:p>
        </w:tc>
        <w:tc>
          <w:tcPr>
            <w:tcW w:w="2336" w:type="dxa"/>
          </w:tcPr>
          <w:p>
            <w:pPr>
              <w:ind w:firstLine="0"/>
              <w:rPr>
                <w:b w:val="1"/>
                <w:lang w:val="uk-UA"/>
              </w:rPr>
            </w:pPr>
            <w:r>
              <w:rPr>
                <w:b w:val="1"/>
                <w:lang w:val="uk-UA"/>
              </w:rPr>
              <w:t>Для держави:</w:t>
            </w:r>
          </w:p>
          <w:p>
            <w:pPr>
              <w:ind w:firstLine="0"/>
              <w:rPr>
                <w:lang w:val="uk-UA"/>
              </w:rPr>
            </w:pPr>
            <w:r>
              <w:rPr>
                <w:lang w:val="uk-UA"/>
              </w:rPr>
              <w:t>Не прогнозуються. Призначення уповноважених установ не призведе до збільшення видатків з відшкодування витрат для проведення іспитів на визначення рівня володіння державною мовою.</w:t>
            </w: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lang w:val="uk-UA"/>
              </w:rPr>
            </w:pPr>
          </w:p>
          <w:p>
            <w:pPr>
              <w:ind w:firstLine="0"/>
              <w:rPr>
                <w:b w:val="1"/>
                <w:lang w:val="uk-UA"/>
              </w:rPr>
            </w:pPr>
            <w:r>
              <w:rPr>
                <w:b w:val="1"/>
                <w:lang w:val="uk-UA"/>
              </w:rPr>
              <w:t>Для суб’єктів господарювання:</w:t>
            </w:r>
          </w:p>
          <w:p>
            <w:pPr>
              <w:ind w:firstLine="0"/>
              <w:rPr>
                <w:lang w:val="uk-UA"/>
              </w:rPr>
            </w:pPr>
            <w:r>
              <w:rPr>
                <w:lang w:val="uk-UA"/>
              </w:rPr>
              <w:t>Додаткові витрати суб’єктів господарювання, якщо такі будуть, сприятимуть дотриманню вимог безпеки для місць проведення іспитів.</w:t>
            </w:r>
          </w:p>
          <w:p>
            <w:pPr>
              <w:ind w:firstLine="0"/>
              <w:rPr>
                <w:lang w:val="uk-UA"/>
              </w:rPr>
            </w:pPr>
            <w:r>
              <w:rPr>
                <w:lang w:val="uk-UA"/>
              </w:rPr>
              <w:t>Для фізичних осіб-підприємців, які можуть бути залучені до надання послуг з перевірки результатів іспитів не передбачається.</w:t>
            </w:r>
          </w:p>
        </w:tc>
        <w:tc>
          <w:tcPr>
            <w:tcW w:w="2337" w:type="dxa"/>
          </w:tcPr>
          <w:p>
            <w:pPr>
              <w:ind w:firstLine="0"/>
              <w:rPr>
                <w:lang w:val="uk-UA"/>
              </w:rPr>
            </w:pPr>
            <w:r>
              <w:rPr>
                <w:lang w:val="uk-UA"/>
              </w:rPr>
              <w:t>Цілком вирішує проблему. Зміна порядку призначення уповноважених установ врегулює питання обов’язкової наявності укриттів цивільного захисту населення в умовах дії воєнного стану, забезпечить доступ до іспитів осіб з інвалідністю.</w:t>
            </w:r>
          </w:p>
        </w:tc>
      </w:tr>
    </w:tbl>
    <w:p>
      <w:pPr>
        <w:rPr>
          <w:lang w:val="uk-UA"/>
        </w:rPr>
      </w:pPr>
    </w:p>
    <w:tbl>
      <w:tblPr>
        <w:tblStyle w:val="T2"/>
        <w:tblW w:w="0" w:type="auto"/>
        <w:tblLook w:val="04A0"/>
      </w:tblPr>
      <w:tblGrid/>
      <w:tr>
        <w:tc>
          <w:tcPr>
            <w:tcW w:w="3115" w:type="dxa"/>
          </w:tcPr>
          <w:p>
            <w:pPr>
              <w:ind w:firstLine="0"/>
              <w:rPr>
                <w:lang w:val="uk-UA"/>
              </w:rPr>
            </w:pPr>
            <w:r>
              <w:rPr>
                <w:lang w:val="uk-UA"/>
              </w:rPr>
              <w:t>Рейтинг</w:t>
            </w:r>
          </w:p>
        </w:tc>
        <w:tc>
          <w:tcPr>
            <w:tcW w:w="3115" w:type="dxa"/>
          </w:tcPr>
          <w:p>
            <w:pPr>
              <w:ind w:firstLine="0"/>
              <w:rPr>
                <w:lang w:val="uk-UA"/>
              </w:rPr>
            </w:pPr>
            <w:r>
              <w:rPr>
                <w:lang w:val="uk-UA"/>
              </w:rPr>
              <w:t>Аргументи щодо переваги обраної альтернативи</w:t>
            </w:r>
            <w:r>
              <w:t>/</w:t>
            </w:r>
            <w:r>
              <w:rPr>
                <w:lang w:val="uk-UA"/>
              </w:rPr>
              <w:t>причини відмови від альтернативи</w:t>
            </w:r>
          </w:p>
        </w:tc>
        <w:tc>
          <w:tcPr>
            <w:tcW w:w="3115" w:type="dxa"/>
          </w:tcPr>
          <w:p>
            <w:pPr>
              <w:ind w:firstLine="0"/>
              <w:rPr>
                <w:lang w:val="uk-UA"/>
              </w:rPr>
            </w:pPr>
            <w:r>
              <w:rPr>
                <w:lang w:val="uk-UA"/>
              </w:rPr>
              <w:t>Оцінка ризику зовнішніх чинників на дію запропонованого регуляторного акта</w:t>
            </w:r>
          </w:p>
        </w:tc>
      </w:tr>
      <w:tr>
        <w:tc>
          <w:tcPr>
            <w:tcW w:w="3115" w:type="dxa"/>
          </w:tcPr>
          <w:p>
            <w:pPr>
              <w:ind w:firstLine="0"/>
              <w:rPr>
                <w:lang w:val="uk-UA"/>
              </w:rPr>
            </w:pPr>
            <w:r>
              <w:rPr>
                <w:lang w:val="uk-UA"/>
              </w:rPr>
              <w:t>Альтернатива 1</w:t>
            </w:r>
          </w:p>
        </w:tc>
        <w:tc>
          <w:tcPr>
            <w:tcW w:w="3115" w:type="dxa"/>
          </w:tcPr>
          <w:p>
            <w:pPr>
              <w:ind w:firstLine="0"/>
              <w:rPr>
                <w:lang w:val="uk-UA"/>
              </w:rPr>
            </w:pPr>
            <w:r>
              <w:rPr>
                <w:lang w:val="uk-UA"/>
              </w:rPr>
              <w:t xml:space="preserve">Залишення порядку призначення уповноважених установ без змін не забезпечить визначених цілей. </w:t>
            </w:r>
          </w:p>
          <w:p>
            <w:pPr>
              <w:ind w:firstLine="0"/>
              <w:rPr>
                <w:lang w:val="uk-UA"/>
              </w:rPr>
            </w:pPr>
            <w:r>
              <w:rPr>
                <w:lang w:val="uk-UA"/>
              </w:rPr>
              <w:t>Зазначені в розділі 1 АРВ проблеми не будуть вирішені.</w:t>
            </w:r>
          </w:p>
          <w:p>
            <w:pPr>
              <w:ind w:firstLine="0"/>
              <w:rPr>
                <w:lang w:val="uk-UA"/>
              </w:rPr>
            </w:pPr>
            <w:r>
              <w:rPr>
                <w:lang w:val="uk-UA"/>
              </w:rPr>
              <w:t xml:space="preserve">Відсутність змін до чинного порядку не забезпечить підвищення рівня забезпеченості уповноважених установ укриттями цивільного захисту, не вирішить проблем забезпечення рівного доступу до іспиту осіб з інвалідністю, не дозволить залучити до перевірки результатів іспиту фізичних осіб-підприємців, що загалом може негативно відбитися на реалізації норм Закону України </w:t>
            </w:r>
          </w:p>
          <w:p>
            <w:pPr>
              <w:ind w:firstLine="0"/>
              <w:rPr>
                <w:lang w:val="uk-UA"/>
              </w:rPr>
            </w:pPr>
            <w:r>
              <w:rPr>
                <w:lang w:val="uk-UA"/>
              </w:rPr>
              <w:t>«Про забезпечення функціонування української мови як державної».</w:t>
            </w:r>
          </w:p>
        </w:tc>
        <w:tc>
          <w:tcPr>
            <w:tcW w:w="3115" w:type="dxa"/>
          </w:tcPr>
          <w:p>
            <w:pPr>
              <w:ind w:firstLine="0"/>
              <w:rPr>
                <w:lang w:val="uk-UA"/>
              </w:rPr>
            </w:pPr>
            <w:r>
              <w:rPr>
                <w:lang w:val="uk-UA"/>
              </w:rPr>
              <w:t>Зовнішні чинники, що впливатимуть на дію регуляторного акта відсутні.</w:t>
            </w:r>
          </w:p>
        </w:tc>
      </w:tr>
      <w:tr>
        <w:tc>
          <w:tcPr>
            <w:tcW w:w="3115" w:type="dxa"/>
          </w:tcPr>
          <w:p>
            <w:pPr>
              <w:ind w:firstLine="0"/>
              <w:rPr>
                <w:lang w:val="uk-UA"/>
              </w:rPr>
            </w:pPr>
            <w:r>
              <w:rPr>
                <w:lang w:val="uk-UA"/>
              </w:rPr>
              <w:t>Альтернатива 2</w:t>
            </w:r>
          </w:p>
        </w:tc>
        <w:tc>
          <w:tcPr>
            <w:tcW w:w="3115" w:type="dxa"/>
          </w:tcPr>
          <w:p>
            <w:pPr>
              <w:ind w:firstLine="0"/>
              <w:rPr>
                <w:lang w:val="uk-UA"/>
              </w:rPr>
            </w:pPr>
            <w:r>
              <w:rPr>
                <w:lang w:val="uk-UA"/>
              </w:rPr>
              <w:t>Прийняття регуляторного акта забезпечить досягнення задекларованих цілей та є необхідним і достатнім способом врегулювання проблеми.</w:t>
            </w:r>
          </w:p>
          <w:p>
            <w:pPr>
              <w:ind w:firstLine="0"/>
              <w:rPr>
                <w:lang w:val="uk-UA"/>
              </w:rPr>
            </w:pPr>
            <w:r>
              <w:rPr>
                <w:lang w:val="uk-UA"/>
              </w:rPr>
              <w:t>Обрання альтернативи 2 дозволить усунути прогалини нормативно-правового регулювання відносин між Комісією як ЦОВВ зі спеціальним статусом та установами, підприємствами, організаціями, яким Комісія може делегувати повноваження щодо проведення іспитів на визначення рівня володіння державною мовою.</w:t>
            </w:r>
          </w:p>
        </w:tc>
        <w:tc>
          <w:tcPr>
            <w:tcW w:w="3115" w:type="dxa"/>
          </w:tcPr>
          <w:p>
            <w:pPr>
              <w:ind w:firstLine="0"/>
              <w:rPr>
                <w:lang w:val="uk-UA"/>
              </w:rPr>
            </w:pPr>
            <w:r>
              <w:rPr>
                <w:lang w:val="uk-UA"/>
              </w:rPr>
              <w:t>Зовнішні чинники, що впливатимуть на дію регуляторного акта відсутні.</w:t>
            </w:r>
          </w:p>
        </w:tc>
      </w:tr>
    </w:tbl>
    <w:p>
      <w:pPr>
        <w:rPr>
          <w:lang w:val="uk-UA"/>
        </w:rPr>
      </w:pPr>
    </w:p>
    <w:p>
      <w:pPr>
        <w:ind w:firstLine="709"/>
        <w:rPr>
          <w:b w:val="1"/>
          <w:bCs w:val="1"/>
          <w:lang w:val="uk-UA"/>
        </w:rPr>
      </w:pPr>
      <w:r>
        <w:rPr>
          <w:b w:val="1"/>
          <w:bCs w:val="1"/>
          <w:lang w:val="uk-UA"/>
        </w:rPr>
        <w:t>5.</w:t>
      </w:r>
      <w:r>
        <w:rPr>
          <w:b w:val="1"/>
          <w:bCs w:val="1"/>
          <w:lang w:val="en-US"/>
        </w:rPr>
        <w:t> </w:t>
      </w:r>
      <w:r>
        <w:rPr>
          <w:b w:val="1"/>
          <w:bCs w:val="1"/>
          <w:lang w:val="uk-UA"/>
        </w:rPr>
        <w:t>Механізми та заходи, які забезпечать розв’язання визначеної проблеми</w:t>
      </w:r>
    </w:p>
    <w:p>
      <w:pPr>
        <w:ind w:firstLine="709"/>
        <w:rPr>
          <w:lang w:val="uk-UA"/>
        </w:rPr>
      </w:pPr>
    </w:p>
    <w:p>
      <w:pPr>
        <w:ind w:firstLine="709"/>
        <w:rPr>
          <w:lang w:val="uk-UA"/>
        </w:rPr>
      </w:pPr>
      <w:r>
        <w:rPr>
          <w:lang w:val="uk-UA"/>
        </w:rPr>
        <w:t>Для досягнення цілей, визначених у роздала 2 АРВ, проєктом рішення передбачено механізми розв’язання проблеми, наведеної у розділі 1 АРВ, а саме:</w:t>
      </w:r>
    </w:p>
    <w:p>
      <w:pPr>
        <w:ind w:firstLine="709"/>
        <w:rPr>
          <w:lang w:val="uk-UA"/>
        </w:rPr>
      </w:pPr>
      <w:r>
        <w:rPr>
          <w:lang w:val="uk-UA"/>
        </w:rPr>
        <w:t>‒ розширюється коло суб’єктів господарювання, яким Комісія своїм рішенням може делегувати повноваження з проведення іспитів на визначення рівня володіння державною мовою та/або перевірки результатів таких іспитів;</w:t>
      </w:r>
    </w:p>
    <w:p>
      <w:pPr>
        <w:ind w:firstLine="709"/>
        <w:rPr>
          <w:lang w:val="uk-UA"/>
        </w:rPr>
      </w:pPr>
      <w:r>
        <w:rPr>
          <w:lang w:val="uk-UA"/>
        </w:rPr>
        <w:t>‒ визначається, що суб’єкти господарювання, яким Комісія своїм рішенням може делегувати повноваження з проведення іспитів на рівень володіння державною мовою повинні мати в своєму розпорядженні укриття цивільного захисту, які відповідають вимогам чинного законодавства у сфері цивільного захисту населення;</w:t>
      </w:r>
    </w:p>
    <w:p>
      <w:pPr>
        <w:ind w:firstLine="709"/>
        <w:rPr>
          <w:lang w:val="uk-UA"/>
        </w:rPr>
      </w:pPr>
      <w:r>
        <w:rPr>
          <w:lang w:val="uk-UA"/>
        </w:rPr>
        <w:t>‒ вимоги до забезпечення рівних прав осіб з інвалідністю ‒ наявність спеціально обладнаних робочих місць, доступу до приміщень, в яких проводяться іспити, дозволить вирішити проблеми осіб з інвалідністю;</w:t>
      </w:r>
    </w:p>
    <w:p>
      <w:pPr>
        <w:ind w:firstLine="709"/>
        <w:rPr>
          <w:lang w:val="uk-UA"/>
        </w:rPr>
      </w:pPr>
      <w:r>
        <w:rPr>
          <w:lang w:val="uk-UA"/>
        </w:rPr>
        <w:t>‒ розширення кола суб’єктів господарювання, яким Комісія може делегувати повноваження з проведення іспитів на рівень володіння державною мовою та</w:t>
      </w:r>
      <w:r>
        <w:t>/</w:t>
      </w:r>
      <w:r>
        <w:rPr>
          <w:lang w:val="uk-UA"/>
        </w:rPr>
        <w:t>або перевірки результатів таких іспитів дозволить проводити іспити у тих населених пунктах, в яких ці іспити станом на сьогодні, проводити не можна.</w:t>
      </w:r>
    </w:p>
    <w:p>
      <w:pPr>
        <w:ind w:firstLine="709"/>
        <w:rPr>
          <w:lang w:val="uk-UA"/>
        </w:rPr>
      </w:pPr>
      <w:r>
        <w:rPr>
          <w:lang w:val="uk-UA"/>
        </w:rPr>
        <w:t>Зазначене дозволить повною мірою реалізувати норми Положення про Національну комісію зі стандартів державної мови, затвердженого постановою Кабінету Міністрів України від 06 листопада 2019 року № 911 «Деякі питання Національної комісії зі стандартів державної мови».</w:t>
      </w:r>
    </w:p>
    <w:p>
      <w:pPr>
        <w:rPr>
          <w:lang w:val="uk-UA"/>
        </w:rPr>
      </w:pPr>
    </w:p>
    <w:p>
      <w:pPr>
        <w:ind w:firstLine="709"/>
        <w:rPr>
          <w:b w:val="1"/>
          <w:bCs w:val="1"/>
          <w:lang w:val="uk-UA"/>
        </w:rPr>
      </w:pPr>
      <w:r>
        <w:rPr>
          <w:b w:val="1"/>
          <w:bCs w:val="1"/>
          <w:lang w:val="uk-UA"/>
        </w:rPr>
        <w:t>6.</w:t>
      </w:r>
      <w:r>
        <w:rPr>
          <w:b w:val="1"/>
          <w:bCs w:val="1"/>
          <w:lang w:val="en-US"/>
        </w:rPr>
        <w:t> </w:t>
      </w:r>
      <w:r>
        <w:rPr>
          <w:b w:val="1"/>
          <w:bCs w:val="1"/>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pPr>
        <w:ind w:firstLine="709"/>
        <w:rPr>
          <w:lang w:val="uk-UA"/>
        </w:rPr>
      </w:pPr>
    </w:p>
    <w:p>
      <w:pPr>
        <w:ind w:firstLine="709"/>
        <w:rPr>
          <w:lang w:val="uk-UA"/>
        </w:rPr>
      </w:pPr>
      <w:r>
        <w:rPr>
          <w:lang w:val="uk-UA"/>
        </w:rPr>
        <w:t>Реалізація проєкту рішення Комісії не потребує додаткового фінансування з Державного бюджету України.</w:t>
      </w:r>
    </w:p>
    <w:p>
      <w:pPr>
        <w:ind w:firstLine="709"/>
        <w:rPr>
          <w:lang w:val="uk-UA"/>
        </w:rPr>
      </w:pPr>
      <w:r>
        <w:rPr>
          <w:lang w:val="uk-UA"/>
        </w:rPr>
        <w:t>Досягнення цілей державного регулювання не передбачає додаткових витрат і ресурсів на адміністрування регулювання органами виконавчої влади чи органами місцевого самоврядування.</w:t>
      </w:r>
    </w:p>
    <w:p>
      <w:pPr>
        <w:ind w:firstLine="709"/>
        <w:rPr>
          <w:lang w:val="uk-UA"/>
        </w:rPr>
      </w:pPr>
    </w:p>
    <w:p>
      <w:pPr>
        <w:ind w:firstLine="709"/>
        <w:rPr>
          <w:b w:val="1"/>
          <w:bCs w:val="1"/>
          <w:lang w:val="uk-UA"/>
        </w:rPr>
      </w:pPr>
      <w:r>
        <w:rPr>
          <w:b w:val="1"/>
          <w:bCs w:val="1"/>
          <w:lang w:val="uk-UA"/>
        </w:rPr>
        <w:t>7. Обґрунтування запропонованого строку дії регуляторного акта</w:t>
      </w:r>
    </w:p>
    <w:p>
      <w:pPr>
        <w:ind w:firstLine="709"/>
        <w:rPr>
          <w:lang w:val="uk-UA"/>
        </w:rPr>
      </w:pPr>
      <w:r>
        <w:rPr>
          <w:lang w:val="uk-UA"/>
        </w:rPr>
        <w:t>Термін дії нормативно-правового акта не обмежений у часі.</w:t>
      </w:r>
    </w:p>
    <w:p>
      <w:pPr>
        <w:ind w:firstLine="709"/>
        <w:rPr>
          <w:lang w:val="uk-UA"/>
        </w:rPr>
      </w:pPr>
      <w:r>
        <w:rPr>
          <w:lang w:val="uk-UA"/>
        </w:rPr>
        <w:t>Термін набрання чинності регуляторним актом – відповідно до вимог законодавства після офіційного оприлюднення.</w:t>
      </w:r>
    </w:p>
    <w:p>
      <w:pPr>
        <w:ind w:firstLine="709"/>
        <w:rPr>
          <w:lang w:val="uk-UA"/>
        </w:rPr>
      </w:pPr>
    </w:p>
    <w:p>
      <w:pPr>
        <w:ind w:firstLine="709"/>
        <w:rPr>
          <w:lang w:val="uk-UA"/>
        </w:rPr>
      </w:pPr>
      <w:r>
        <w:rPr>
          <w:lang w:val="uk-UA"/>
        </w:rPr>
        <w:t>8. Визначення показників результативності дії регуляторного акта</w:t>
      </w:r>
    </w:p>
    <w:p>
      <w:pPr>
        <w:ind w:firstLine="709"/>
        <w:rPr>
          <w:lang w:val="uk-UA"/>
        </w:rPr>
      </w:pPr>
      <w:r>
        <w:rPr>
          <w:lang w:val="uk-UA"/>
        </w:rPr>
        <w:t>Показниками результативності регуляторного акта є:</w:t>
      </w:r>
    </w:p>
    <w:p>
      <w:pPr>
        <w:ind w:firstLine="709"/>
        <w:rPr>
          <w:lang w:val="uk-UA"/>
        </w:rPr>
      </w:pPr>
      <w:r>
        <w:rPr>
          <w:lang w:val="uk-UA"/>
        </w:rPr>
        <w:t>‒ розмір надходжень до державного та місцевих бюджетів і державних цільових фондів, пов’язаних з дією акта ‒ надходжень не передбачається;</w:t>
      </w:r>
    </w:p>
    <w:p>
      <w:pPr>
        <w:ind w:firstLine="709"/>
        <w:rPr>
          <w:lang w:val="uk-UA"/>
        </w:rPr>
      </w:pPr>
      <w:r>
        <w:rPr>
          <w:lang w:val="uk-UA"/>
        </w:rPr>
        <w:t>‒ кількість суб’єктів господарювання, на яких поширюватиметься дія акта, ‒ 13 790;</w:t>
      </w:r>
    </w:p>
    <w:p>
      <w:pPr>
        <w:ind w:firstLine="709"/>
        <w:rPr>
          <w:lang w:val="uk-UA"/>
        </w:rPr>
      </w:pPr>
      <w:r>
        <w:rPr>
          <w:lang w:val="uk-UA"/>
        </w:rPr>
        <w:t>‒ розмір коштів і час, що витрачатимуться суб’єктами господарювання у зв’язку з виконанням вимог акта;</w:t>
      </w:r>
    </w:p>
    <w:p>
      <w:pPr>
        <w:ind w:firstLine="709"/>
        <w:rPr>
          <w:lang w:val="uk-UA"/>
        </w:rPr>
      </w:pPr>
      <w:r>
        <w:rPr>
          <w:lang w:val="uk-UA"/>
        </w:rPr>
        <w:t>‒ рівень поінформованості суб’єктів господарювання з основних положень акта ‒ середній.</w:t>
      </w:r>
    </w:p>
    <w:p>
      <w:pPr>
        <w:ind w:firstLine="709"/>
        <w:rPr>
          <w:lang w:val="uk-UA"/>
        </w:rPr>
      </w:pPr>
      <w:r>
        <w:rPr>
          <w:lang w:val="uk-UA"/>
        </w:rPr>
        <w:t>Проєкт акта оприлюднений з метою інформування громадськості та отримання зауважень і пропозицій у встановленому законодавством порядку на офіційному вебсайті Комісії (</w:t>
      </w:r>
      <w:hyperlink xmlns:r="http://schemas.openxmlformats.org/officeDocument/2006/relationships" r:id="R3">
        <w:r>
          <w:rPr>
            <w:rStyle w:val="C2"/>
          </w:rPr>
          <w:t>https</w:t>
        </w:r>
        <w:r>
          <w:rPr>
            <w:rStyle w:val="C2"/>
            <w:lang w:val="uk-UA"/>
          </w:rPr>
          <w:t>://</w:t>
        </w:r>
        <w:r>
          <w:rPr>
            <w:rStyle w:val="C2"/>
          </w:rPr>
          <w:t>mova</w:t>
        </w:r>
        <w:r>
          <w:rPr>
            <w:rStyle w:val="C2"/>
            <w:lang w:val="uk-UA"/>
          </w:rPr>
          <w:t>.</w:t>
        </w:r>
        <w:r>
          <w:rPr>
            <w:rStyle w:val="C2"/>
          </w:rPr>
          <w:t>gov</w:t>
        </w:r>
        <w:r>
          <w:rPr>
            <w:rStyle w:val="C2"/>
            <w:lang w:val="uk-UA"/>
          </w:rPr>
          <w:t>.</w:t>
        </w:r>
        <w:r>
          <w:rPr>
            <w:rStyle w:val="C2"/>
          </w:rPr>
          <w:t>ua</w:t>
        </w:r>
        <w:r>
          <w:rPr>
            <w:rStyle w:val="C2"/>
            <w:lang w:val="uk-UA"/>
          </w:rPr>
          <w:t>/</w:t>
        </w:r>
        <w:r>
          <w:rPr>
            <w:rStyle w:val="C2"/>
          </w:rPr>
          <w:t>gromadskosti</w:t>
        </w:r>
        <w:r>
          <w:rPr>
            <w:rStyle w:val="C2"/>
            <w:lang w:val="uk-UA"/>
          </w:rPr>
          <w:t>/</w:t>
        </w:r>
        <w:r>
          <w:rPr>
            <w:rStyle w:val="C2"/>
          </w:rPr>
          <w:t>rehuliatorna</w:t>
        </w:r>
        <w:r>
          <w:rPr>
            <w:rStyle w:val="C2"/>
            <w:lang w:val="uk-UA"/>
          </w:rPr>
          <w:t>-</w:t>
        </w:r>
        <w:r>
          <w:rPr>
            <w:rStyle w:val="C2"/>
          </w:rPr>
          <w:t>diialnist</w:t>
        </w:r>
        <w:r>
          <w:rPr>
            <w:rStyle w:val="C2"/>
            <w:lang w:val="uk-UA"/>
          </w:rPr>
          <w:t>-</w:t>
        </w:r>
        <w:r>
          <w:rPr>
            <w:rStyle w:val="C2"/>
          </w:rPr>
          <w:t>ta</w:t>
        </w:r>
        <w:r>
          <w:rPr>
            <w:rStyle w:val="C2"/>
            <w:lang w:val="uk-UA"/>
          </w:rPr>
          <w:t>-</w:t>
        </w:r>
        <w:r>
          <w:rPr>
            <w:rStyle w:val="C2"/>
          </w:rPr>
          <w:t>konsultatsii</w:t>
        </w:r>
        <w:r>
          <w:rPr>
            <w:rStyle w:val="C2"/>
            <w:lang w:val="uk-UA"/>
          </w:rPr>
          <w:t>-</w:t>
        </w:r>
        <w:r>
          <w:rPr>
            <w:rStyle w:val="C2"/>
          </w:rPr>
          <w:t>z</w:t>
        </w:r>
        <w:r>
          <w:rPr>
            <w:rStyle w:val="C2"/>
            <w:lang w:val="uk-UA"/>
          </w:rPr>
          <w:t>-</w:t>
        </w:r>
        <w:r>
          <w:rPr>
            <w:rStyle w:val="C2"/>
          </w:rPr>
          <w:t>hromadskistiu</w:t>
        </w:r>
        <w:r>
          <w:rPr>
            <w:rStyle w:val="C2"/>
            <w:lang w:val="uk-UA"/>
          </w:rPr>
          <w:t>/</w:t>
        </w:r>
        <w:r>
          <w:rPr>
            <w:rStyle w:val="C2"/>
          </w:rPr>
          <w:t>proiekty</w:t>
        </w:r>
        <w:r>
          <w:rPr>
            <w:rStyle w:val="C2"/>
            <w:lang w:val="uk-UA"/>
          </w:rPr>
          <w:t>-</w:t>
        </w:r>
        <w:r>
          <w:rPr>
            <w:rStyle w:val="C2"/>
          </w:rPr>
          <w:t>rehuliatornykh</w:t>
        </w:r>
        <w:r>
          <w:rPr>
            <w:rStyle w:val="C2"/>
            <w:lang w:val="uk-UA"/>
          </w:rPr>
          <w:t>-</w:t>
        </w:r>
        <w:r>
          <w:rPr>
            <w:rStyle w:val="C2"/>
          </w:rPr>
          <w:t>aktiv</w:t>
        </w:r>
      </w:hyperlink>
      <w:r>
        <w:rPr>
          <w:lang w:val="uk-UA"/>
        </w:rPr>
        <w:t>) у підрозділі «Проєкти регуляторних актів» розділу «Регуляторна діяльність та консультації з громадськістю».</w:t>
      </w:r>
    </w:p>
    <w:p>
      <w:pPr>
        <w:ind w:firstLine="709"/>
        <w:rPr>
          <w:lang w:val="uk-UA"/>
        </w:rPr>
      </w:pPr>
      <w:r>
        <w:rPr>
          <w:lang w:val="uk-UA"/>
        </w:rPr>
        <w:t>Додатковими показниками результативності регуляторного акта є:</w:t>
      </w:r>
    </w:p>
    <w:p>
      <w:pPr>
        <w:ind w:firstLine="709"/>
        <w:rPr>
          <w:lang w:val="uk-UA"/>
        </w:rPr>
      </w:pPr>
      <w:r>
        <w:rPr>
          <w:lang w:val="uk-UA"/>
        </w:rPr>
        <w:t>‒ кількість уповноважених установ, яким Комісія своїм рішенням делегує повноваження з проведення іспитів на визначення рівня володіння державною мовою та/або перевірки результатів таких іспитів;</w:t>
      </w:r>
    </w:p>
    <w:p>
      <w:pPr>
        <w:ind w:firstLine="709"/>
        <w:rPr>
          <w:lang w:val="uk-UA"/>
        </w:rPr>
      </w:pPr>
      <w:r>
        <w:rPr>
          <w:lang w:val="uk-UA"/>
        </w:rPr>
        <w:t>‒ кількість відхилених Комісією звернень від підприємств, установ, організацій, які хочуть набути статусу уповноваженої установи Комісії.</w:t>
      </w:r>
    </w:p>
    <w:p>
      <w:pPr>
        <w:ind w:firstLine="709"/>
        <w:rPr>
          <w:lang w:val="uk-UA"/>
        </w:rPr>
      </w:pPr>
    </w:p>
    <w:p>
      <w:pPr>
        <w:ind w:firstLine="709"/>
        <w:rPr>
          <w:lang w:val="uk-UA"/>
        </w:rPr>
      </w:pPr>
      <w:r>
        <w:rPr>
          <w:lang w:val="uk-UA"/>
        </w:rPr>
        <w:t>9. Визначення заходів, за допомогою яких здійснюватиметься відстеження результативності дії регуляторного акта</w:t>
      </w:r>
    </w:p>
    <w:p>
      <w:pPr>
        <w:ind w:firstLine="709"/>
        <w:rPr>
          <w:lang w:val="uk-UA"/>
        </w:rPr>
      </w:pPr>
    </w:p>
    <w:p>
      <w:pPr>
        <w:ind w:firstLine="709"/>
        <w:rPr>
          <w:lang w:val="uk-UA"/>
        </w:rPr>
      </w:pPr>
      <w:r>
        <w:rPr>
          <w:lang w:val="uk-UA"/>
        </w:rPr>
        <w:t>Відстеження результативності регуляторного акта здійснюватиметься через аналіз статистичної інформації щодо роботи уповноважених установ, яким Комісія своїм рішенням делегувала повноваження з проведення іспитів на визначення рівня володіння державною мовою та/або перевірки результатів таких іспитів.</w:t>
      </w:r>
    </w:p>
    <w:p>
      <w:pPr>
        <w:ind w:firstLine="709"/>
        <w:rPr>
          <w:lang w:val="uk-UA"/>
        </w:rPr>
      </w:pPr>
      <w:r>
        <w:rPr>
          <w:lang w:val="uk-UA"/>
        </w:rPr>
        <w:t>Базове відстеження результативності здійснюватиметься через пів року після набрання чинності цим регуляторним актом.</w:t>
      </w:r>
    </w:p>
    <w:p>
      <w:pPr>
        <w:ind w:firstLine="709"/>
        <w:rPr>
          <w:lang w:val="uk-UA"/>
        </w:rPr>
      </w:pPr>
      <w:r>
        <w:rPr>
          <w:lang w:val="uk-UA"/>
        </w:rPr>
        <w:t>Повторне відстеження результативності регуляторного акта здійснюватиметься через рік після набрання чинності цим актом.</w:t>
      </w:r>
    </w:p>
    <w:p>
      <w:pPr>
        <w:ind w:firstLine="709"/>
        <w:rPr>
          <w:lang w:val="uk-UA"/>
        </w:rPr>
      </w:pPr>
      <w:r>
        <w:rPr>
          <w:lang w:val="uk-UA"/>
        </w:rPr>
        <w:t>Періодичне відстеження результативності регуляторного акта здійснюватиметься через кожен рік, починаючи з дня виконання заходів із повторного відстеження.</w:t>
      </w:r>
    </w:p>
    <w:p>
      <w:pPr>
        <w:ind w:firstLine="709"/>
        <w:rPr>
          <w:lang w:val="uk-UA"/>
        </w:rPr>
      </w:pPr>
      <w:r>
        <w:rPr>
          <w:lang w:val="uk-UA"/>
        </w:rPr>
        <w:t>Метод проведення відстеження результативності ‒ статистичний.</w:t>
      </w:r>
    </w:p>
    <w:p>
      <w:pPr>
        <w:ind w:firstLine="709"/>
        <w:rPr>
          <w:lang w:val="uk-UA"/>
        </w:rPr>
      </w:pPr>
      <w:r>
        <w:rPr>
          <w:lang w:val="uk-UA"/>
        </w:rPr>
        <w:t>Виконавець заходів з відстеження результативності ‒ Національна комісія зі стандартів державної мови.</w:t>
      </w:r>
    </w:p>
    <w:p>
      <w:pPr>
        <w:ind w:firstLine="709"/>
        <w:rPr>
          <w:lang w:val="uk-UA"/>
        </w:rPr>
      </w:pPr>
      <w:r>
        <w:rPr>
          <w:lang w:val="uk-UA"/>
        </w:rPr>
        <w:t>За умови виявлення під час здійснення заходів відстеження результативності неврегульованих та проблемних питань, вони будуть вирішуватися внесенням змін до регуляторного акта.</w:t>
      </w:r>
    </w:p>
    <w:p>
      <w:pPr>
        <w:ind w:firstLine="0"/>
        <w:rPr>
          <w:lang w:val="uk-UA"/>
        </w:rPr>
      </w:pPr>
    </w:p>
    <w:p>
      <w:pPr>
        <w:ind w:firstLine="0"/>
        <w:rPr>
          <w:b w:val="1"/>
          <w:bCs w:val="1"/>
          <w:lang w:val="uk-UA"/>
        </w:rPr>
      </w:pPr>
    </w:p>
    <w:p>
      <w:pPr>
        <w:ind w:firstLine="0"/>
        <w:rPr>
          <w:b w:val="1"/>
          <w:bCs w:val="1"/>
          <w:lang w:val="uk-UA"/>
        </w:rPr>
      </w:pPr>
      <w:r>
        <w:rPr>
          <w:b w:val="1"/>
          <w:bCs w:val="1"/>
          <w:lang w:val="uk-UA"/>
        </w:rPr>
        <w:t>Голова Національної комісії</w:t>
      </w:r>
    </w:p>
    <w:p>
      <w:pPr>
        <w:ind w:firstLine="0"/>
        <w:rPr>
          <w:b w:val="1"/>
          <w:bCs w:val="1"/>
          <w:lang w:val="uk-UA"/>
        </w:rPr>
      </w:pPr>
      <w:r>
        <w:rPr>
          <w:b w:val="1"/>
          <w:bCs w:val="1"/>
          <w:lang w:val="uk-UA"/>
        </w:rPr>
        <w:t>зі стандартів державної мови</w:t>
        <w:tab/>
        <w:tab/>
        <w:tab/>
        <w:tab/>
        <w:t xml:space="preserve">      Юлія ЧЕРНОБРОВ</w:t>
      </w:r>
    </w:p>
    <w:sectPr>
      <w:headerReference xmlns:r="http://schemas.openxmlformats.org/officeDocument/2006/relationships" w:type="default" r:id="RelHdr1"/>
      <w:footnotePr/>
      <w:endnotePr/>
      <w:type w:val="nextPage"/>
      <w:pgSz w:w="11906" w:h="16838" w:code="0"/>
      <w:pgMar w:left="1701" w:right="850" w:top="1134" w:bottom="1134" w:header="708" w:footer="708" w:gutter="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
      <w:jc w:val="center"/>
    </w:pPr>
    <w:r>
      <w:fldChar w:fldCharType="begin"/>
    </w:r>
    <w:r>
      <w:instrText xml:space="preserve">PAGE   \* MERGEFORMAT</w:instrText>
    </w:r>
    <w:r>
      <w:fldChar w:fldCharType="separate"/>
    </w:r>
    <w:r>
      <w:rPr>
        <w:lang w:val="uk-UA"/>
      </w:rPr>
      <w:t>#</w:t>
    </w:r>
    <w:r>
      <w:fldChar w:fldCharType="end"/>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Times New Roman" w:hAnsi="Times New Roman"/>
        <w:sz w:val="28"/>
        <w:szCs w:val="28"/>
        <w:lang w:val="ru-RU"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567" w:left="0" w:right="0"/>
        <w:contextualSpacing w:val="0"/>
        <w:bidi w:val="0"/>
        <w:jc w:val="both"/>
        <w:outlineLvl w:val="9"/>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header"/>
    <w:basedOn w:val="P0"/>
    <w:link w:val="C4"/>
    <w:pPr>
      <w:tabs>
        <w:tab w:val="center" w:pos="4819" w:leader="none"/>
        <w:tab w:val="right" w:pos="9639" w:leader="none"/>
      </w:tabs>
    </w:pPr>
    <w:rPr/>
  </w:style>
  <w:style w:type="paragraph" w:styleId="P3">
    <w:name w:val="footer"/>
    <w:basedOn w:val="P0"/>
    <w:link w:val="C5"/>
    <w:pPr>
      <w:tabs>
        <w:tab w:val="center" w:pos="4819" w:leader="none"/>
        <w:tab w:val="right" w:pos="9639" w:leader="none"/>
      </w:tabs>
    </w:pPr>
    <w:rPr/>
  </w:style>
  <w:style w:type="paragraph" w:styleId="P4">
    <w:name w:val="footnote text"/>
    <w:link w:val="C7"/>
    <w:semiHidden/>
    <w:pPr>
      <w:spacing w:lineRule="auto" w:line="240" w:after="0"/>
    </w:pPr>
    <w:rPr>
      <w:sz w:val="20"/>
      <w:szCs w:val="20"/>
    </w:rPr>
  </w:style>
  <w:style w:type="paragraph" w:styleId="P5">
    <w:name w:val="endnote text"/>
    <w:link w:val="C9"/>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themeColor="hyperlink"/>
      <w:u w:val="single"/>
    </w:rPr>
  </w:style>
  <w:style w:type="character" w:styleId="C3">
    <w:name w:val="Unresolved Mention"/>
    <w:basedOn w:val="C0"/>
    <w:semiHidden/>
    <w:rPr>
      <w:color w:val="605E5C"/>
      <w:shd w:val="clear" w:color="auto" w:fill="E1DFDD"/>
    </w:rPr>
  </w:style>
  <w:style w:type="character" w:styleId="C4">
    <w:name w:val="Верхній колонтитул Знак"/>
    <w:basedOn w:val="C0"/>
    <w:link w:val="P2"/>
    <w:rPr/>
  </w:style>
  <w:style w:type="character" w:styleId="C5">
    <w:name w:val="Нижній колонтитул Знак"/>
    <w:basedOn w:val="C0"/>
    <w:link w:val="P3"/>
    <w:rPr/>
  </w:style>
  <w:style w:type="character" w:styleId="C6">
    <w:name w:val="footnote reference"/>
    <w:semiHidden/>
    <w:rPr>
      <w:vertAlign w:val="superscript"/>
    </w:rPr>
  </w:style>
  <w:style w:type="character" w:styleId="C7">
    <w:name w:val="Footnote Text Char"/>
    <w:link w:val="P4"/>
    <w:semiHidden/>
    <w:rPr>
      <w:sz w:val="20"/>
      <w:szCs w:val="20"/>
    </w:rPr>
  </w:style>
  <w:style w:type="character" w:styleId="C8">
    <w:name w:val="endnote reference"/>
    <w:semiHidden/>
    <w:rPr>
      <w:vertAlign w:val="superscript"/>
    </w:rPr>
  </w:style>
  <w:style w:type="character" w:styleId="C9">
    <w:name w:val="Endnote Text Char"/>
    <w:link w:val="P5"/>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www.ukrstat.gov.ua/" TargetMode="External" /><Relationship Id="R3" Type="http://schemas.openxmlformats.org/officeDocument/2006/relationships/hyperlink" Target="https://mova.gov.ua/gromadskosti/rehuliatorna-diialnist-ta-konsultatsii-z-hromadskistiu/proiekty-rehuliatornykh-aktiv" TargetMode="External" /><Relationship Id="RelHdr1" Type="http://schemas.openxmlformats.org/officeDocument/2006/relationships/header" Target="head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endnotes.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 />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Company>SPecialiST RePack</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Volodymyr Mozgunov</dc:creator>
  <dcterms:created xsi:type="dcterms:W3CDTF">2023-10-25T13:59:00Z</dcterms:created>
  <cp:lastPrinted>2023-10-25T13:56:00Z</cp:lastPrinted>
  <dcterms:modified xsi:type="dcterms:W3CDTF">2023-10-29T18:48:51Z</dcterms:modified>
  <cp:revision>6</cp:revision>
</cp:coreProperties>
</file>