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0F8F650A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таки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х вакантних посад державної служби:</w:t>
      </w:r>
    </w:p>
    <w:p w14:paraId="64C08ABD" w14:textId="43E5A2E2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“Б”:</w:t>
      </w:r>
    </w:p>
    <w:p w14:paraId="73C67F61" w14:textId="66B793FD" w:rsidR="740A3F44" w:rsidRDefault="48F320BB" w:rsidP="00421DE5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завідувач сектору управління персонал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1DE9C24" w14:textId="594840AA" w:rsidR="48F320BB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“В”:</w:t>
      </w:r>
    </w:p>
    <w:p w14:paraId="2BC929F6" w14:textId="77777777" w:rsidR="00F56BE8" w:rsidRPr="00F56BE8" w:rsidRDefault="740A3F44" w:rsidP="00F56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6BE8">
        <w:rPr>
          <w:rFonts w:ascii="Times New Roman" w:eastAsia="Times New Roman" w:hAnsi="Times New Roman" w:cs="Times New Roman"/>
          <w:sz w:val="27"/>
          <w:szCs w:val="27"/>
        </w:rPr>
        <w:t>головний спеціаліст-юрисконсульт.</w:t>
      </w:r>
    </w:p>
    <w:p w14:paraId="79398DDB" w14:textId="26FA7924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 xml:space="preserve">Особа, яка претендує на зайняття посади державної служби, відповідно до статті 20 Закону України “Про державну службу”, повинна відповідати таким вимогам: </w:t>
      </w:r>
    </w:p>
    <w:p w14:paraId="3004084A" w14:textId="72062933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3F2ED971" w14:textId="71678289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C351EFE" w14:textId="11BCD613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заповнен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</w:t>
        </w:r>
        <w:r w:rsidR="007841A2"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у</w:t>
        </w:r>
        <w:r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 xml:space="preserve"> картк</w:t>
        </w:r>
        <w:r w:rsidR="007841A2"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встановленого зразка,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змінами).</w:t>
      </w:r>
    </w:p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05B759C9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до </w:t>
      </w:r>
      <w:r w:rsidRPr="00421DE5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7841A2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421D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травня 2022 року 1</w:t>
      </w:r>
      <w:r w:rsidR="007841A2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Pr="00421DE5">
        <w:rPr>
          <w:rFonts w:ascii="Times New Roman" w:eastAsia="Times New Roman" w:hAnsi="Times New Roman" w:cs="Times New Roman"/>
          <w:b/>
          <w:bCs/>
          <w:sz w:val="27"/>
          <w:szCs w:val="27"/>
        </w:rPr>
        <w:t>.00.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B5EC70E" w14:textId="2BB52BCD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особа 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e-mail: </w:t>
      </w:r>
      <w:hyperlink r:id="rId7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421DE5"/>
    <w:rsid w:val="00461F00"/>
    <w:rsid w:val="00484F9D"/>
    <w:rsid w:val="006B3667"/>
    <w:rsid w:val="007841A2"/>
    <w:rsid w:val="00B77E72"/>
    <w:rsid w:val="00EA20E9"/>
    <w:rsid w:val="00F56BE8"/>
    <w:rsid w:val="00F87550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galabudsk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КОР2021</cp:lastModifiedBy>
  <cp:revision>7</cp:revision>
  <cp:lastPrinted>2022-05-23T09:16:00Z</cp:lastPrinted>
  <dcterms:created xsi:type="dcterms:W3CDTF">2022-05-21T05:32:00Z</dcterms:created>
  <dcterms:modified xsi:type="dcterms:W3CDTF">2022-05-23T09:51:00Z</dcterms:modified>
</cp:coreProperties>
</file>